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83B72" w14:textId="0C402E42" w:rsidR="00CE689E" w:rsidRPr="006068A2" w:rsidRDefault="00486EC6" w:rsidP="006068A2">
      <w:pPr>
        <w:spacing w:line="360" w:lineRule="auto"/>
        <w:jc w:val="both"/>
        <w:rPr>
          <w:rStyle w:val="Refdenotaalpie"/>
          <w:rFonts w:ascii="Arial" w:hAnsi="Arial" w:cs="Arial"/>
          <w:sz w:val="22"/>
          <w:szCs w:val="22"/>
        </w:rPr>
      </w:pPr>
      <w:bookmarkStart w:id="0" w:name="_Hlk229047679"/>
      <w:bookmarkEnd w:id="0"/>
      <w:r w:rsidRPr="006068A2">
        <w:rPr>
          <w:rFonts w:ascii="Arial" w:hAnsi="Arial" w:cs="Arial"/>
          <w:b/>
          <w:bCs/>
          <w:noProof/>
          <w:sz w:val="22"/>
          <w:szCs w:val="22"/>
          <w:lang w:eastAsia="es-CO"/>
        </w:rPr>
        <w:drawing>
          <wp:anchor distT="0" distB="0" distL="114300" distR="114300" simplePos="0" relativeHeight="251657216" behindDoc="1" locked="0" layoutInCell="1" allowOverlap="1" wp14:anchorId="7D147E91" wp14:editId="5B1BBA41">
            <wp:simplePos x="0" y="0"/>
            <wp:positionH relativeFrom="margin">
              <wp:align>center</wp:align>
            </wp:positionH>
            <wp:positionV relativeFrom="paragraph">
              <wp:posOffset>-99695</wp:posOffset>
            </wp:positionV>
            <wp:extent cx="781685" cy="1101725"/>
            <wp:effectExtent l="0" t="0" r="0" b="3175"/>
            <wp:wrapNone/>
            <wp:docPr id="1879930346" name="Imagen 5"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930346" name="Imagen 5" descr="Logotipo&#10;&#10;El contenido generado por IA puede ser incorrecto."/>
                    <pic:cNvPicPr>
                      <a:picLocks noChangeAspect="1" noChangeArrowheads="1"/>
                    </pic:cNvPicPr>
                  </pic:nvPicPr>
                  <pic:blipFill>
                    <a:blip r:embed="rId11">
                      <a:extLst>
                        <a:ext uri="{28A0092B-C50C-407E-A947-70E740481C1C}">
                          <a14:useLocalDpi xmlns:a14="http://schemas.microsoft.com/office/drawing/2010/main" val="0"/>
                        </a:ext>
                      </a:extLst>
                    </a:blip>
                    <a:srcRect r="2917"/>
                    <a:stretch>
                      <a:fillRect/>
                    </a:stretch>
                  </pic:blipFill>
                  <pic:spPr bwMode="auto">
                    <a:xfrm>
                      <a:off x="0" y="0"/>
                      <a:ext cx="781685" cy="1101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1F81E2" w14:textId="0CB1BFCD" w:rsidR="382B01F5" w:rsidRPr="006068A2" w:rsidRDefault="382B01F5" w:rsidP="006068A2">
      <w:pPr>
        <w:spacing w:line="360" w:lineRule="auto"/>
        <w:jc w:val="both"/>
        <w:rPr>
          <w:rStyle w:val="Refdenotaalpie"/>
          <w:rFonts w:ascii="Arial" w:hAnsi="Arial" w:cs="Arial"/>
          <w:sz w:val="22"/>
          <w:szCs w:val="22"/>
        </w:rPr>
      </w:pPr>
    </w:p>
    <w:p w14:paraId="767D7D1F" w14:textId="55572C02" w:rsidR="00CE689E" w:rsidRPr="006068A2" w:rsidRDefault="00CE689E" w:rsidP="009170C7">
      <w:pPr>
        <w:spacing w:line="360" w:lineRule="auto"/>
        <w:jc w:val="center"/>
        <w:rPr>
          <w:rFonts w:ascii="Arial" w:hAnsi="Arial" w:cs="Arial"/>
          <w:b/>
          <w:bCs/>
          <w:sz w:val="32"/>
          <w:szCs w:val="32"/>
        </w:rPr>
      </w:pPr>
    </w:p>
    <w:p w14:paraId="47360001" w14:textId="77777777" w:rsidR="00CE689E" w:rsidRPr="006068A2" w:rsidRDefault="00CE689E" w:rsidP="006068A2">
      <w:pPr>
        <w:spacing w:line="360" w:lineRule="auto"/>
        <w:jc w:val="both"/>
        <w:rPr>
          <w:rFonts w:ascii="Arial" w:hAnsi="Arial" w:cs="Arial"/>
          <w:b/>
          <w:bCs/>
          <w:sz w:val="32"/>
          <w:szCs w:val="32"/>
        </w:rPr>
      </w:pPr>
    </w:p>
    <w:p w14:paraId="7DAAF602" w14:textId="77777777" w:rsidR="00CE689E" w:rsidRPr="006068A2" w:rsidRDefault="00CE689E" w:rsidP="006068A2">
      <w:pPr>
        <w:spacing w:line="360" w:lineRule="auto"/>
        <w:jc w:val="both"/>
        <w:rPr>
          <w:rFonts w:ascii="Arial" w:hAnsi="Arial" w:cs="Arial"/>
          <w:b/>
          <w:bCs/>
          <w:sz w:val="32"/>
          <w:szCs w:val="32"/>
        </w:rPr>
      </w:pPr>
    </w:p>
    <w:p w14:paraId="22ACAE27" w14:textId="77777777" w:rsidR="00CE689E" w:rsidRPr="006068A2" w:rsidRDefault="00CE689E" w:rsidP="006068A2">
      <w:pPr>
        <w:spacing w:line="360" w:lineRule="auto"/>
        <w:jc w:val="center"/>
        <w:rPr>
          <w:rFonts w:ascii="Arial" w:hAnsi="Arial" w:cs="Arial"/>
          <w:b/>
          <w:bCs/>
          <w:sz w:val="32"/>
          <w:szCs w:val="32"/>
        </w:rPr>
      </w:pPr>
    </w:p>
    <w:p w14:paraId="70379CBF" w14:textId="7574CD10" w:rsidR="008F34F3" w:rsidRPr="006068A2" w:rsidRDefault="00CE689E" w:rsidP="006068A2">
      <w:pPr>
        <w:spacing w:line="360" w:lineRule="auto"/>
        <w:jc w:val="center"/>
        <w:rPr>
          <w:rFonts w:ascii="Arial" w:hAnsi="Arial" w:cs="Arial"/>
          <w:b/>
          <w:bCs/>
          <w:sz w:val="32"/>
          <w:szCs w:val="32"/>
        </w:rPr>
      </w:pPr>
      <w:r w:rsidRPr="006068A2">
        <w:rPr>
          <w:rFonts w:ascii="Arial" w:hAnsi="Arial" w:cs="Arial"/>
          <w:b/>
          <w:bCs/>
          <w:sz w:val="32"/>
          <w:szCs w:val="32"/>
        </w:rPr>
        <w:t>SECRETARÍA DISTRITAL DE SALUD</w:t>
      </w:r>
    </w:p>
    <w:p w14:paraId="4B6AD40F" w14:textId="77777777" w:rsidR="00486EC6" w:rsidRPr="006068A2" w:rsidRDefault="00486EC6" w:rsidP="006068A2">
      <w:pPr>
        <w:spacing w:line="360" w:lineRule="auto"/>
        <w:jc w:val="center"/>
        <w:rPr>
          <w:rFonts w:ascii="Arial" w:hAnsi="Arial" w:cs="Arial"/>
          <w:b/>
          <w:bCs/>
          <w:sz w:val="32"/>
          <w:szCs w:val="32"/>
        </w:rPr>
      </w:pPr>
    </w:p>
    <w:p w14:paraId="5D9ECEBF" w14:textId="18334624" w:rsidR="00CE689E" w:rsidRPr="006068A2" w:rsidRDefault="00CE689E" w:rsidP="006068A2">
      <w:pPr>
        <w:spacing w:line="360" w:lineRule="auto"/>
        <w:jc w:val="center"/>
        <w:rPr>
          <w:rFonts w:ascii="Arial" w:hAnsi="Arial" w:cs="Arial"/>
          <w:b/>
          <w:bCs/>
          <w:sz w:val="32"/>
          <w:szCs w:val="32"/>
        </w:rPr>
      </w:pPr>
    </w:p>
    <w:p w14:paraId="5074839F" w14:textId="4E086050" w:rsidR="3920E673" w:rsidRPr="006068A2" w:rsidRDefault="3920E673" w:rsidP="006068A2">
      <w:pPr>
        <w:spacing w:line="360" w:lineRule="auto"/>
        <w:jc w:val="center"/>
        <w:rPr>
          <w:rFonts w:ascii="Arial" w:hAnsi="Arial" w:cs="Arial"/>
          <w:b/>
          <w:bCs/>
          <w:sz w:val="32"/>
          <w:szCs w:val="32"/>
        </w:rPr>
      </w:pPr>
    </w:p>
    <w:p w14:paraId="0A29D637" w14:textId="66B43E5C" w:rsidR="3920E673" w:rsidRPr="006068A2" w:rsidRDefault="3920E673" w:rsidP="006068A2">
      <w:pPr>
        <w:spacing w:line="360" w:lineRule="auto"/>
        <w:jc w:val="center"/>
        <w:rPr>
          <w:rFonts w:ascii="Arial" w:hAnsi="Arial" w:cs="Arial"/>
          <w:b/>
          <w:bCs/>
          <w:sz w:val="32"/>
          <w:szCs w:val="32"/>
        </w:rPr>
      </w:pPr>
    </w:p>
    <w:p w14:paraId="306E6A47" w14:textId="02169AA4" w:rsidR="00CE689E" w:rsidRPr="006068A2" w:rsidRDefault="00CE689E" w:rsidP="006068A2">
      <w:pPr>
        <w:spacing w:line="360" w:lineRule="auto"/>
        <w:jc w:val="center"/>
        <w:rPr>
          <w:rFonts w:ascii="Arial" w:hAnsi="Arial" w:cs="Arial"/>
          <w:b/>
          <w:bCs/>
          <w:sz w:val="32"/>
          <w:szCs w:val="32"/>
        </w:rPr>
      </w:pPr>
      <w:bookmarkStart w:id="1" w:name="_Hlk201318273"/>
      <w:r w:rsidRPr="006068A2">
        <w:rPr>
          <w:rFonts w:ascii="Arial" w:hAnsi="Arial" w:cs="Arial"/>
          <w:b/>
          <w:bCs/>
          <w:sz w:val="32"/>
          <w:szCs w:val="32"/>
        </w:rPr>
        <w:t>DIRECCIÓN DE ASEGURAMIENTO Y GARANTÍA DEL DERECHO A LA SALUD</w:t>
      </w:r>
    </w:p>
    <w:bookmarkEnd w:id="1"/>
    <w:p w14:paraId="1C077C33" w14:textId="77777777" w:rsidR="008F34F3" w:rsidRPr="006068A2" w:rsidRDefault="008F34F3" w:rsidP="006068A2">
      <w:pPr>
        <w:spacing w:line="360" w:lineRule="auto"/>
        <w:jc w:val="center"/>
        <w:rPr>
          <w:rFonts w:ascii="Arial" w:hAnsi="Arial" w:cs="Arial"/>
          <w:b/>
          <w:bCs/>
          <w:sz w:val="32"/>
          <w:szCs w:val="32"/>
        </w:rPr>
      </w:pPr>
    </w:p>
    <w:p w14:paraId="381F299C" w14:textId="77777777" w:rsidR="00486EC6" w:rsidRPr="006068A2" w:rsidRDefault="00486EC6" w:rsidP="006068A2">
      <w:pPr>
        <w:spacing w:line="360" w:lineRule="auto"/>
        <w:jc w:val="center"/>
        <w:rPr>
          <w:rFonts w:ascii="Arial" w:hAnsi="Arial" w:cs="Arial"/>
          <w:b/>
          <w:bCs/>
          <w:sz w:val="32"/>
          <w:szCs w:val="32"/>
        </w:rPr>
      </w:pPr>
    </w:p>
    <w:p w14:paraId="59530741" w14:textId="77777777" w:rsidR="00CE689E" w:rsidRPr="006068A2" w:rsidRDefault="00CE689E" w:rsidP="006068A2">
      <w:pPr>
        <w:spacing w:line="360" w:lineRule="auto"/>
        <w:jc w:val="center"/>
        <w:rPr>
          <w:rFonts w:ascii="Arial" w:hAnsi="Arial" w:cs="Arial"/>
          <w:b/>
          <w:bCs/>
          <w:sz w:val="32"/>
          <w:szCs w:val="32"/>
        </w:rPr>
      </w:pPr>
    </w:p>
    <w:p w14:paraId="785CDCAA" w14:textId="77777777" w:rsidR="00CE689E" w:rsidRPr="006068A2" w:rsidRDefault="00CE689E" w:rsidP="006068A2">
      <w:pPr>
        <w:spacing w:line="360" w:lineRule="auto"/>
        <w:jc w:val="center"/>
        <w:rPr>
          <w:rFonts w:ascii="Arial" w:hAnsi="Arial" w:cs="Arial"/>
          <w:b/>
          <w:bCs/>
          <w:sz w:val="32"/>
          <w:szCs w:val="32"/>
        </w:rPr>
      </w:pPr>
    </w:p>
    <w:p w14:paraId="1D8A6C68" w14:textId="2B72CED9" w:rsidR="00CE689E" w:rsidRPr="006068A2" w:rsidRDefault="00CE689E" w:rsidP="006068A2">
      <w:pPr>
        <w:spacing w:line="360" w:lineRule="auto"/>
        <w:jc w:val="center"/>
        <w:rPr>
          <w:rFonts w:ascii="Arial" w:hAnsi="Arial" w:cs="Arial"/>
          <w:b/>
          <w:bCs/>
          <w:sz w:val="32"/>
          <w:szCs w:val="32"/>
        </w:rPr>
      </w:pPr>
      <w:r w:rsidRPr="006068A2">
        <w:rPr>
          <w:rFonts w:ascii="Arial" w:hAnsi="Arial" w:cs="Arial"/>
          <w:b/>
          <w:bCs/>
          <w:sz w:val="32"/>
          <w:szCs w:val="32"/>
        </w:rPr>
        <w:t xml:space="preserve">INFORME EJECUTIVO DE ANÁLISIS A LOS RESULTADOS DE LA GESTIÓN DE </w:t>
      </w:r>
      <w:r w:rsidR="005B00AD" w:rsidRPr="006068A2">
        <w:rPr>
          <w:rFonts w:ascii="Arial" w:hAnsi="Arial" w:cs="Arial"/>
          <w:b/>
          <w:bCs/>
          <w:sz w:val="32"/>
          <w:szCs w:val="32"/>
        </w:rPr>
        <w:t>EPS COOSALUD</w:t>
      </w:r>
      <w:r w:rsidR="00486EC6" w:rsidRPr="006068A2">
        <w:rPr>
          <w:rFonts w:ascii="Arial" w:hAnsi="Arial" w:cs="Arial"/>
          <w:b/>
          <w:bCs/>
          <w:sz w:val="32"/>
          <w:szCs w:val="32"/>
        </w:rPr>
        <w:t>.</w:t>
      </w:r>
    </w:p>
    <w:p w14:paraId="626D94FD" w14:textId="77777777" w:rsidR="00CE689E" w:rsidRPr="006068A2" w:rsidRDefault="00CE689E" w:rsidP="006068A2">
      <w:pPr>
        <w:spacing w:line="360" w:lineRule="auto"/>
        <w:jc w:val="center"/>
        <w:rPr>
          <w:rFonts w:ascii="Arial" w:hAnsi="Arial" w:cs="Arial"/>
          <w:b/>
          <w:bCs/>
          <w:sz w:val="22"/>
          <w:szCs w:val="22"/>
        </w:rPr>
      </w:pPr>
    </w:p>
    <w:p w14:paraId="2B3528AC" w14:textId="77777777" w:rsidR="00486EC6" w:rsidRPr="006068A2" w:rsidRDefault="00486EC6" w:rsidP="006068A2">
      <w:pPr>
        <w:spacing w:line="360" w:lineRule="auto"/>
        <w:jc w:val="center"/>
        <w:rPr>
          <w:rFonts w:ascii="Arial" w:hAnsi="Arial" w:cs="Arial"/>
          <w:b/>
          <w:bCs/>
          <w:sz w:val="22"/>
          <w:szCs w:val="22"/>
        </w:rPr>
      </w:pPr>
    </w:p>
    <w:p w14:paraId="540B3801" w14:textId="77777777" w:rsidR="00486EC6" w:rsidRPr="006068A2" w:rsidRDefault="00486EC6" w:rsidP="006068A2">
      <w:pPr>
        <w:spacing w:line="360" w:lineRule="auto"/>
        <w:jc w:val="center"/>
        <w:rPr>
          <w:rFonts w:ascii="Arial" w:hAnsi="Arial" w:cs="Arial"/>
          <w:b/>
          <w:bCs/>
          <w:sz w:val="22"/>
          <w:szCs w:val="22"/>
        </w:rPr>
      </w:pPr>
    </w:p>
    <w:p w14:paraId="713CC11D" w14:textId="77777777" w:rsidR="00AB0635" w:rsidRPr="006068A2" w:rsidRDefault="00AB0635" w:rsidP="006068A2">
      <w:pPr>
        <w:spacing w:line="360" w:lineRule="auto"/>
        <w:jc w:val="center"/>
        <w:rPr>
          <w:rFonts w:ascii="Arial" w:hAnsi="Arial" w:cs="Arial"/>
          <w:b/>
          <w:bCs/>
          <w:sz w:val="22"/>
          <w:szCs w:val="22"/>
        </w:rPr>
      </w:pPr>
    </w:p>
    <w:p w14:paraId="26669B24" w14:textId="77777777" w:rsidR="00486EC6" w:rsidRPr="006068A2" w:rsidRDefault="00486EC6" w:rsidP="006068A2">
      <w:pPr>
        <w:spacing w:line="360" w:lineRule="auto"/>
        <w:jc w:val="center"/>
        <w:rPr>
          <w:rFonts w:ascii="Arial" w:hAnsi="Arial" w:cs="Arial"/>
          <w:b/>
          <w:bCs/>
          <w:sz w:val="28"/>
          <w:szCs w:val="28"/>
        </w:rPr>
      </w:pPr>
    </w:p>
    <w:p w14:paraId="139CEB7C" w14:textId="5F887657" w:rsidR="00CE689E" w:rsidRPr="006068A2" w:rsidRDefault="003301AC" w:rsidP="006068A2">
      <w:pPr>
        <w:spacing w:line="360" w:lineRule="auto"/>
        <w:jc w:val="center"/>
        <w:rPr>
          <w:rFonts w:ascii="Arial" w:hAnsi="Arial" w:cs="Arial"/>
          <w:b/>
          <w:bCs/>
          <w:sz w:val="28"/>
          <w:szCs w:val="28"/>
        </w:rPr>
      </w:pPr>
      <w:r w:rsidRPr="006068A2">
        <w:rPr>
          <w:rFonts w:ascii="Arial" w:hAnsi="Arial" w:cs="Arial"/>
          <w:b/>
          <w:bCs/>
          <w:sz w:val="28"/>
          <w:szCs w:val="28"/>
        </w:rPr>
        <w:t>MA</w:t>
      </w:r>
      <w:r w:rsidR="00241C29" w:rsidRPr="006068A2">
        <w:rPr>
          <w:rFonts w:ascii="Arial" w:hAnsi="Arial" w:cs="Arial"/>
          <w:b/>
          <w:bCs/>
          <w:sz w:val="28"/>
          <w:szCs w:val="28"/>
        </w:rPr>
        <w:t>YO</w:t>
      </w:r>
      <w:r w:rsidR="00CE689E" w:rsidRPr="006068A2">
        <w:rPr>
          <w:rFonts w:ascii="Arial" w:hAnsi="Arial" w:cs="Arial"/>
          <w:b/>
          <w:bCs/>
          <w:sz w:val="28"/>
          <w:szCs w:val="28"/>
        </w:rPr>
        <w:t>202</w:t>
      </w:r>
      <w:r w:rsidR="008F5155" w:rsidRPr="006068A2">
        <w:rPr>
          <w:rFonts w:ascii="Arial" w:hAnsi="Arial" w:cs="Arial"/>
          <w:b/>
          <w:bCs/>
          <w:sz w:val="28"/>
          <w:szCs w:val="28"/>
        </w:rPr>
        <w:t>6</w:t>
      </w:r>
    </w:p>
    <w:p w14:paraId="268C4694" w14:textId="77777777" w:rsidR="00295353" w:rsidRPr="00CB4D7A" w:rsidRDefault="00295353" w:rsidP="00CB4D7A">
      <w:pPr>
        <w:spacing w:line="360" w:lineRule="auto"/>
        <w:jc w:val="both"/>
        <w:rPr>
          <w:rFonts w:ascii="Arial" w:hAnsi="Arial" w:cs="Arial"/>
          <w:sz w:val="22"/>
          <w:szCs w:val="22"/>
        </w:rPr>
      </w:pPr>
    </w:p>
    <w:p w14:paraId="1AC132D1" w14:textId="77777777" w:rsidR="00241C29" w:rsidRPr="00CB4D7A" w:rsidRDefault="00241C29" w:rsidP="00CB4D7A">
      <w:pPr>
        <w:spacing w:line="360" w:lineRule="auto"/>
        <w:jc w:val="both"/>
        <w:rPr>
          <w:rFonts w:ascii="Arial" w:hAnsi="Arial" w:cs="Arial"/>
          <w:sz w:val="22"/>
          <w:szCs w:val="22"/>
        </w:rPr>
      </w:pPr>
    </w:p>
    <w:p w14:paraId="164CAAC1" w14:textId="7A1F8708" w:rsidR="00BC1438" w:rsidRPr="0062747E" w:rsidRDefault="00295353" w:rsidP="0062747E">
      <w:pPr>
        <w:spacing w:line="360" w:lineRule="auto"/>
        <w:jc w:val="center"/>
        <w:rPr>
          <w:rFonts w:ascii="Arial" w:hAnsi="Arial" w:cs="Arial"/>
          <w:b/>
          <w:bCs/>
          <w:sz w:val="22"/>
          <w:szCs w:val="22"/>
        </w:rPr>
      </w:pPr>
      <w:r w:rsidRPr="0062747E">
        <w:rPr>
          <w:rFonts w:ascii="Arial" w:hAnsi="Arial" w:cs="Arial"/>
          <w:b/>
          <w:bCs/>
          <w:sz w:val="22"/>
          <w:szCs w:val="22"/>
        </w:rPr>
        <w:t>CONTENIDO</w:t>
      </w:r>
    </w:p>
    <w:sdt>
      <w:sdtPr>
        <w:rPr>
          <w:rFonts w:eastAsiaTheme="minorEastAsia"/>
          <w:lang w:val="es-ES"/>
        </w:rPr>
        <w:id w:val="-319047832"/>
        <w:docPartObj>
          <w:docPartGallery w:val="Table of Contents"/>
          <w:docPartUnique/>
        </w:docPartObj>
      </w:sdtPr>
      <w:sdtEndPr>
        <w:rPr>
          <w:rFonts w:ascii="Arial" w:hAnsi="Arial" w:cs="Arial"/>
          <w:sz w:val="22"/>
          <w:szCs w:val="22"/>
        </w:rPr>
      </w:sdtEndPr>
      <w:sdtContent>
        <w:p w14:paraId="67D9F9AA" w14:textId="3E7F21D7" w:rsidR="00ED7184" w:rsidRPr="00ED7184" w:rsidRDefault="00C30FD4" w:rsidP="00ED7184">
          <w:pPr>
            <w:pStyle w:val="TDC1"/>
            <w:rPr>
              <w:rFonts w:ascii="Arial" w:eastAsiaTheme="minorEastAsia" w:hAnsi="Arial" w:cs="Arial"/>
              <w:noProof/>
              <w:kern w:val="2"/>
              <w:sz w:val="22"/>
              <w:szCs w:val="22"/>
              <w:lang w:eastAsia="es-CO"/>
              <w14:ligatures w14:val="standardContextual"/>
            </w:rPr>
          </w:pPr>
          <w:r w:rsidRPr="00ED7184">
            <w:rPr>
              <w:rFonts w:ascii="Arial" w:hAnsi="Arial" w:cs="Arial"/>
              <w:sz w:val="22"/>
              <w:szCs w:val="22"/>
              <w:lang w:val="es-ES"/>
            </w:rPr>
            <w:fldChar w:fldCharType="begin"/>
          </w:r>
          <w:r w:rsidRPr="00ED7184">
            <w:rPr>
              <w:rFonts w:ascii="Arial" w:hAnsi="Arial" w:cs="Arial"/>
              <w:sz w:val="22"/>
              <w:szCs w:val="22"/>
            </w:rPr>
            <w:instrText xml:space="preserve"> TOC \o "1-3" \h \z \u </w:instrText>
          </w:r>
          <w:r w:rsidRPr="00ED7184">
            <w:rPr>
              <w:rFonts w:ascii="Arial" w:hAnsi="Arial" w:cs="Arial"/>
              <w:sz w:val="22"/>
              <w:szCs w:val="22"/>
              <w:lang w:val="es-ES"/>
            </w:rPr>
            <w:fldChar w:fldCharType="separate"/>
          </w:r>
          <w:hyperlink w:anchor="_Toc229397826" w:history="1">
            <w:r w:rsidR="00ED7184" w:rsidRPr="00ED7184">
              <w:rPr>
                <w:rStyle w:val="Hipervnculo"/>
                <w:rFonts w:ascii="Arial" w:eastAsia="Arial" w:hAnsi="Arial" w:cs="Arial"/>
                <w:noProof/>
                <w:sz w:val="22"/>
                <w:szCs w:val="22"/>
              </w:rPr>
              <w:t>INDICE DE TABLAS</w:t>
            </w:r>
            <w:r w:rsidR="00ED7184" w:rsidRPr="00ED7184">
              <w:rPr>
                <w:rFonts w:ascii="Arial" w:hAnsi="Arial" w:cs="Arial"/>
                <w:noProof/>
                <w:webHidden/>
                <w:sz w:val="22"/>
                <w:szCs w:val="22"/>
              </w:rPr>
              <w:tab/>
            </w:r>
            <w:r w:rsidR="00ED7184" w:rsidRPr="00ED7184">
              <w:rPr>
                <w:rFonts w:ascii="Arial" w:hAnsi="Arial" w:cs="Arial"/>
                <w:noProof/>
                <w:webHidden/>
                <w:sz w:val="22"/>
                <w:szCs w:val="22"/>
              </w:rPr>
              <w:fldChar w:fldCharType="begin"/>
            </w:r>
            <w:r w:rsidR="00ED7184" w:rsidRPr="00ED7184">
              <w:rPr>
                <w:rFonts w:ascii="Arial" w:hAnsi="Arial" w:cs="Arial"/>
                <w:noProof/>
                <w:webHidden/>
                <w:sz w:val="22"/>
                <w:szCs w:val="22"/>
              </w:rPr>
              <w:instrText xml:space="preserve"> PAGEREF _Toc229397826 \h </w:instrText>
            </w:r>
            <w:r w:rsidR="00ED7184" w:rsidRPr="00ED7184">
              <w:rPr>
                <w:rFonts w:ascii="Arial" w:hAnsi="Arial" w:cs="Arial"/>
                <w:noProof/>
                <w:webHidden/>
                <w:sz w:val="22"/>
                <w:szCs w:val="22"/>
              </w:rPr>
            </w:r>
            <w:r w:rsidR="00ED7184" w:rsidRPr="00ED7184">
              <w:rPr>
                <w:rFonts w:ascii="Arial" w:hAnsi="Arial" w:cs="Arial"/>
                <w:noProof/>
                <w:webHidden/>
                <w:sz w:val="22"/>
                <w:szCs w:val="22"/>
              </w:rPr>
              <w:fldChar w:fldCharType="separate"/>
            </w:r>
            <w:r w:rsidR="00ED7184" w:rsidRPr="00ED7184">
              <w:rPr>
                <w:rFonts w:ascii="Arial" w:hAnsi="Arial" w:cs="Arial"/>
                <w:noProof/>
                <w:webHidden/>
                <w:sz w:val="22"/>
                <w:szCs w:val="22"/>
              </w:rPr>
              <w:t>4</w:t>
            </w:r>
            <w:r w:rsidR="00ED7184" w:rsidRPr="00ED7184">
              <w:rPr>
                <w:rFonts w:ascii="Arial" w:hAnsi="Arial" w:cs="Arial"/>
                <w:noProof/>
                <w:webHidden/>
                <w:sz w:val="22"/>
                <w:szCs w:val="22"/>
              </w:rPr>
              <w:fldChar w:fldCharType="end"/>
            </w:r>
          </w:hyperlink>
        </w:p>
        <w:p w14:paraId="304BCB98" w14:textId="47560C7A" w:rsidR="00ED7184" w:rsidRPr="00ED7184" w:rsidRDefault="00ED7184" w:rsidP="00ED7184">
          <w:pPr>
            <w:pStyle w:val="TDC1"/>
            <w:rPr>
              <w:rFonts w:ascii="Arial" w:eastAsiaTheme="minorEastAsia" w:hAnsi="Arial" w:cs="Arial"/>
              <w:noProof/>
              <w:kern w:val="2"/>
              <w:sz w:val="22"/>
              <w:szCs w:val="22"/>
              <w:lang w:eastAsia="es-CO"/>
              <w14:ligatures w14:val="standardContextual"/>
            </w:rPr>
          </w:pPr>
          <w:hyperlink w:anchor="_Toc229397827" w:history="1">
            <w:r w:rsidRPr="00ED7184">
              <w:rPr>
                <w:rStyle w:val="Hipervnculo"/>
                <w:rFonts w:ascii="Arial" w:eastAsia="Arial" w:hAnsi="Arial" w:cs="Arial"/>
                <w:noProof/>
                <w:sz w:val="22"/>
                <w:szCs w:val="22"/>
              </w:rPr>
              <w:t>ÍNDICE DE GRÁFICAS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_Toc229397827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4</w:t>
            </w:r>
            <w:r w:rsidRPr="00ED7184">
              <w:rPr>
                <w:rFonts w:ascii="Arial" w:hAnsi="Arial" w:cs="Arial"/>
                <w:noProof/>
                <w:webHidden/>
                <w:sz w:val="22"/>
                <w:szCs w:val="22"/>
              </w:rPr>
              <w:fldChar w:fldCharType="end"/>
            </w:r>
          </w:hyperlink>
        </w:p>
        <w:p w14:paraId="66CE6214" w14:textId="06C342FD" w:rsidR="00ED7184" w:rsidRPr="00ED7184" w:rsidRDefault="00ED7184" w:rsidP="00ED7184">
          <w:pPr>
            <w:pStyle w:val="TDC1"/>
            <w:rPr>
              <w:rFonts w:ascii="Arial" w:eastAsiaTheme="minorEastAsia" w:hAnsi="Arial" w:cs="Arial"/>
              <w:noProof/>
              <w:kern w:val="2"/>
              <w:sz w:val="22"/>
              <w:szCs w:val="22"/>
              <w:lang w:eastAsia="es-CO"/>
              <w14:ligatures w14:val="standardContextual"/>
            </w:rPr>
          </w:pPr>
          <w:hyperlink w:anchor="_Toc229397828" w:history="1">
            <w:r w:rsidRPr="00ED7184">
              <w:rPr>
                <w:rStyle w:val="Hipervnculo"/>
                <w:rFonts w:ascii="Arial" w:eastAsia="Arial" w:hAnsi="Arial" w:cs="Arial"/>
                <w:noProof/>
                <w:sz w:val="22"/>
                <w:szCs w:val="22"/>
              </w:rPr>
              <w:t>1.</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rPr>
              <w:t>INTRODUCCIÓN</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_Toc229397828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5</w:t>
            </w:r>
            <w:r w:rsidRPr="00ED7184">
              <w:rPr>
                <w:rFonts w:ascii="Arial" w:hAnsi="Arial" w:cs="Arial"/>
                <w:noProof/>
                <w:webHidden/>
                <w:sz w:val="22"/>
                <w:szCs w:val="22"/>
              </w:rPr>
              <w:fldChar w:fldCharType="end"/>
            </w:r>
          </w:hyperlink>
        </w:p>
        <w:p w14:paraId="16958DA2" w14:textId="5A501A2C" w:rsidR="00ED7184" w:rsidRPr="00ED7184" w:rsidRDefault="00ED7184" w:rsidP="00ED7184">
          <w:pPr>
            <w:pStyle w:val="TDC1"/>
            <w:rPr>
              <w:rFonts w:ascii="Arial" w:eastAsiaTheme="minorEastAsia" w:hAnsi="Arial" w:cs="Arial"/>
              <w:noProof/>
              <w:kern w:val="2"/>
              <w:sz w:val="22"/>
              <w:szCs w:val="22"/>
              <w:lang w:eastAsia="es-CO"/>
              <w14:ligatures w14:val="standardContextual"/>
            </w:rPr>
          </w:pPr>
          <w:hyperlink w:anchor="_Toc229397829" w:history="1">
            <w:r w:rsidRPr="00ED7184">
              <w:rPr>
                <w:rStyle w:val="Hipervnculo"/>
                <w:rFonts w:ascii="Arial" w:eastAsia="Arial" w:hAnsi="Arial" w:cs="Arial"/>
                <w:noProof/>
                <w:sz w:val="22"/>
                <w:szCs w:val="22"/>
              </w:rPr>
              <w:t>2.</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rPr>
              <w:t>ANTECEDENTES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_Toc229397829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7</w:t>
            </w:r>
            <w:r w:rsidRPr="00ED7184">
              <w:rPr>
                <w:rFonts w:ascii="Arial" w:hAnsi="Arial" w:cs="Arial"/>
                <w:noProof/>
                <w:webHidden/>
                <w:sz w:val="22"/>
                <w:szCs w:val="22"/>
              </w:rPr>
              <w:fldChar w:fldCharType="end"/>
            </w:r>
          </w:hyperlink>
        </w:p>
        <w:p w14:paraId="026736B4" w14:textId="40824F4F"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0" w:history="1">
            <w:r w:rsidRPr="00ED7184">
              <w:rPr>
                <w:rStyle w:val="Hipervnculo"/>
                <w:rFonts w:ascii="Arial" w:eastAsia="Arial" w:hAnsi="Arial" w:cs="Arial"/>
                <w:noProof/>
                <w:sz w:val="22"/>
                <w:szCs w:val="22"/>
              </w:rPr>
              <w:t>2.1</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rPr>
              <w:t>Contexto del aseguramiento en Bogotá</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_Toc229397830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8</w:t>
            </w:r>
            <w:r w:rsidRPr="00ED7184">
              <w:rPr>
                <w:rFonts w:ascii="Arial" w:hAnsi="Arial" w:cs="Arial"/>
                <w:noProof/>
                <w:webHidden/>
                <w:sz w:val="22"/>
                <w:szCs w:val="22"/>
              </w:rPr>
              <w:fldChar w:fldCharType="end"/>
            </w:r>
          </w:hyperlink>
        </w:p>
        <w:p w14:paraId="4CAA495E" w14:textId="1483FF01"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1" w:history="1">
            <w:r w:rsidRPr="00ED7184">
              <w:rPr>
                <w:rStyle w:val="Hipervnculo"/>
                <w:rFonts w:ascii="Arial" w:hAnsi="Arial" w:cs="Arial"/>
                <w:noProof/>
                <w:sz w:val="22"/>
                <w:szCs w:val="22"/>
              </w:rPr>
              <w:t>2.2</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Relación EPS – Ciudad</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_Toc229397831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15</w:t>
            </w:r>
            <w:r w:rsidRPr="00ED7184">
              <w:rPr>
                <w:rFonts w:ascii="Arial" w:hAnsi="Arial" w:cs="Arial"/>
                <w:noProof/>
                <w:webHidden/>
                <w:sz w:val="22"/>
                <w:szCs w:val="22"/>
              </w:rPr>
              <w:fldChar w:fldCharType="end"/>
            </w:r>
          </w:hyperlink>
        </w:p>
        <w:p w14:paraId="3BCD7AE9" w14:textId="18ACCB8B" w:rsidR="00ED7184" w:rsidRPr="00ED7184" w:rsidRDefault="00ED7184" w:rsidP="00ED7184">
          <w:pPr>
            <w:pStyle w:val="TDC1"/>
            <w:rPr>
              <w:rFonts w:ascii="Arial" w:eastAsiaTheme="minorEastAsia" w:hAnsi="Arial" w:cs="Arial"/>
              <w:noProof/>
              <w:kern w:val="2"/>
              <w:sz w:val="22"/>
              <w:szCs w:val="22"/>
              <w:lang w:eastAsia="es-CO"/>
              <w14:ligatures w14:val="standardContextual"/>
            </w:rPr>
          </w:pPr>
          <w:hyperlink w:anchor="_Toc229397832" w:history="1">
            <w:r w:rsidRPr="00ED7184">
              <w:rPr>
                <w:rStyle w:val="Hipervnculo"/>
                <w:rFonts w:ascii="Arial" w:eastAsia="Arial" w:hAnsi="Arial" w:cs="Arial"/>
                <w:noProof/>
                <w:sz w:val="22"/>
                <w:szCs w:val="22"/>
              </w:rPr>
              <w:t>3.</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rPr>
              <w:t>OBJETIVOS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_Toc229397832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18</w:t>
            </w:r>
            <w:r w:rsidRPr="00ED7184">
              <w:rPr>
                <w:rFonts w:ascii="Arial" w:hAnsi="Arial" w:cs="Arial"/>
                <w:noProof/>
                <w:webHidden/>
                <w:sz w:val="22"/>
                <w:szCs w:val="22"/>
              </w:rPr>
              <w:fldChar w:fldCharType="end"/>
            </w:r>
          </w:hyperlink>
        </w:p>
        <w:p w14:paraId="54F10C5E" w14:textId="521640A0"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3" w:history="1">
            <w:r w:rsidRPr="00ED7184">
              <w:rPr>
                <w:rStyle w:val="Hipervnculo"/>
                <w:rFonts w:ascii="Arial" w:eastAsia="Arial" w:hAnsi="Arial" w:cs="Arial"/>
                <w:noProof/>
                <w:sz w:val="22"/>
                <w:szCs w:val="22"/>
              </w:rPr>
              <w:t>3.1</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rPr>
              <w:t>Objetivo general</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_Toc229397833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18</w:t>
            </w:r>
            <w:r w:rsidRPr="00ED7184">
              <w:rPr>
                <w:rFonts w:ascii="Arial" w:hAnsi="Arial" w:cs="Arial"/>
                <w:noProof/>
                <w:webHidden/>
                <w:sz w:val="22"/>
                <w:szCs w:val="22"/>
              </w:rPr>
              <w:fldChar w:fldCharType="end"/>
            </w:r>
          </w:hyperlink>
        </w:p>
        <w:p w14:paraId="3E74562E" w14:textId="7122FA03"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4" w:history="1">
            <w:r w:rsidRPr="00ED7184">
              <w:rPr>
                <w:rStyle w:val="Hipervnculo"/>
                <w:rFonts w:ascii="Arial" w:eastAsia="Arial" w:hAnsi="Arial" w:cs="Arial"/>
                <w:noProof/>
                <w:sz w:val="22"/>
                <w:szCs w:val="22"/>
              </w:rPr>
              <w:t>3.2</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rPr>
              <w:t>Objetivos específicos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_Toc229397834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18</w:t>
            </w:r>
            <w:r w:rsidRPr="00ED7184">
              <w:rPr>
                <w:rFonts w:ascii="Arial" w:hAnsi="Arial" w:cs="Arial"/>
                <w:noProof/>
                <w:webHidden/>
                <w:sz w:val="22"/>
                <w:szCs w:val="22"/>
              </w:rPr>
              <w:fldChar w:fldCharType="end"/>
            </w:r>
          </w:hyperlink>
        </w:p>
        <w:p w14:paraId="101AE8FF" w14:textId="41EB4899" w:rsidR="00ED7184" w:rsidRPr="00ED7184" w:rsidRDefault="00ED7184" w:rsidP="00ED7184">
          <w:pPr>
            <w:pStyle w:val="TDC1"/>
            <w:rPr>
              <w:rFonts w:ascii="Arial" w:eastAsiaTheme="minorEastAsia" w:hAnsi="Arial" w:cs="Arial"/>
              <w:noProof/>
              <w:kern w:val="2"/>
              <w:sz w:val="22"/>
              <w:szCs w:val="22"/>
              <w:lang w:eastAsia="es-CO"/>
              <w14:ligatures w14:val="standardContextual"/>
            </w:rPr>
          </w:pPr>
          <w:hyperlink w:anchor="_Toc229397835" w:history="1">
            <w:r w:rsidRPr="00ED7184">
              <w:rPr>
                <w:rStyle w:val="Hipervnculo"/>
                <w:rFonts w:ascii="Arial" w:eastAsia="Arial" w:hAnsi="Arial" w:cs="Arial"/>
                <w:noProof/>
                <w:sz w:val="22"/>
                <w:szCs w:val="22"/>
              </w:rPr>
              <w:t>4.</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rPr>
              <w:t>RECLAMACIONES EN SALUD</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_Toc229397835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19</w:t>
            </w:r>
            <w:r w:rsidRPr="00ED7184">
              <w:rPr>
                <w:rFonts w:ascii="Arial" w:hAnsi="Arial" w:cs="Arial"/>
                <w:noProof/>
                <w:webHidden/>
                <w:sz w:val="22"/>
                <w:szCs w:val="22"/>
              </w:rPr>
              <w:fldChar w:fldCharType="end"/>
            </w:r>
          </w:hyperlink>
        </w:p>
        <w:p w14:paraId="736940A5" w14:textId="60DE98A1"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6" w:history="1">
            <w:r w:rsidRPr="00ED7184">
              <w:rPr>
                <w:rStyle w:val="Hipervnculo"/>
                <w:rFonts w:ascii="Arial" w:eastAsia="Arial" w:hAnsi="Arial" w:cs="Arial"/>
                <w:noProof/>
                <w:sz w:val="22"/>
                <w:szCs w:val="22"/>
              </w:rPr>
              <w:t>4.1</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rPr>
              <w:t>Comportamiento de las Reclamaciones – COOSALUD EPS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_Toc229397836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21</w:t>
            </w:r>
            <w:r w:rsidRPr="00ED7184">
              <w:rPr>
                <w:rFonts w:ascii="Arial" w:hAnsi="Arial" w:cs="Arial"/>
                <w:noProof/>
                <w:webHidden/>
                <w:sz w:val="22"/>
                <w:szCs w:val="22"/>
              </w:rPr>
              <w:fldChar w:fldCharType="end"/>
            </w:r>
          </w:hyperlink>
        </w:p>
        <w:p w14:paraId="27E1FB1F" w14:textId="278BBC64"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7" w:history="1">
            <w:r w:rsidRPr="00ED7184">
              <w:rPr>
                <w:rStyle w:val="Hipervnculo"/>
                <w:rFonts w:ascii="Arial" w:eastAsia="Arial" w:hAnsi="Arial" w:cs="Arial"/>
                <w:noProof/>
                <w:sz w:val="22"/>
                <w:szCs w:val="22"/>
              </w:rPr>
              <w:t>4.2</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rPr>
              <w:t>Oportunidad en la respuesta a las PQRSD (Indicadores)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_Toc229397837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22</w:t>
            </w:r>
            <w:r w:rsidRPr="00ED7184">
              <w:rPr>
                <w:rFonts w:ascii="Arial" w:hAnsi="Arial" w:cs="Arial"/>
                <w:noProof/>
                <w:webHidden/>
                <w:sz w:val="22"/>
                <w:szCs w:val="22"/>
              </w:rPr>
              <w:fldChar w:fldCharType="end"/>
            </w:r>
          </w:hyperlink>
        </w:p>
        <w:p w14:paraId="236B8D6F" w14:textId="0A5B4866"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8" w:history="1">
            <w:r w:rsidRPr="00ED7184">
              <w:rPr>
                <w:rStyle w:val="Hipervnculo"/>
                <w:rFonts w:ascii="Arial" w:eastAsia="Arial" w:hAnsi="Arial" w:cs="Arial"/>
                <w:noProof/>
                <w:sz w:val="22"/>
                <w:szCs w:val="22"/>
              </w:rPr>
              <w:t>4.3</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rPr>
              <w:t>Principales barreras de acceso identificadas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_Toc229397838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25</w:t>
            </w:r>
            <w:r w:rsidRPr="00ED7184">
              <w:rPr>
                <w:rFonts w:ascii="Arial" w:hAnsi="Arial" w:cs="Arial"/>
                <w:noProof/>
                <w:webHidden/>
                <w:sz w:val="22"/>
                <w:szCs w:val="22"/>
              </w:rPr>
              <w:fldChar w:fldCharType="end"/>
            </w:r>
          </w:hyperlink>
        </w:p>
        <w:p w14:paraId="701DA580" w14:textId="471AE272"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39" w:history="1">
            <w:r w:rsidRPr="00ED7184">
              <w:rPr>
                <w:rStyle w:val="Hipervnculo"/>
                <w:rFonts w:ascii="Arial" w:eastAsia="Arial" w:hAnsi="Arial" w:cs="Arial"/>
                <w:noProof/>
                <w:sz w:val="22"/>
                <w:szCs w:val="22"/>
              </w:rPr>
              <w:t>4.4</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rPr>
              <w:t>Secretaría Distrital - Gestión de PQRS de Salud 2025 en COOSALUD EPS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_Toc229397839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28</w:t>
            </w:r>
            <w:r w:rsidRPr="00ED7184">
              <w:rPr>
                <w:rFonts w:ascii="Arial" w:hAnsi="Arial" w:cs="Arial"/>
                <w:noProof/>
                <w:webHidden/>
                <w:sz w:val="22"/>
                <w:szCs w:val="22"/>
              </w:rPr>
              <w:fldChar w:fldCharType="end"/>
            </w:r>
          </w:hyperlink>
        </w:p>
        <w:p w14:paraId="3C6318F6" w14:textId="23115AD6"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0" w:history="1">
            <w:r w:rsidRPr="00ED7184">
              <w:rPr>
                <w:rStyle w:val="Hipervnculo"/>
                <w:rFonts w:ascii="Arial" w:eastAsia="Arial" w:hAnsi="Arial" w:cs="Arial"/>
                <w:noProof/>
                <w:sz w:val="22"/>
                <w:szCs w:val="22"/>
              </w:rPr>
              <w:t>4.5</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rPr>
              <w:t>Oportunidad de respuesta EPS COOSALUD Año 2025</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_Toc229397840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29</w:t>
            </w:r>
            <w:r w:rsidRPr="00ED7184">
              <w:rPr>
                <w:rFonts w:ascii="Arial" w:hAnsi="Arial" w:cs="Arial"/>
                <w:noProof/>
                <w:webHidden/>
                <w:sz w:val="22"/>
                <w:szCs w:val="22"/>
              </w:rPr>
              <w:fldChar w:fldCharType="end"/>
            </w:r>
          </w:hyperlink>
        </w:p>
        <w:p w14:paraId="40C159C7" w14:textId="2E03F303"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1" w:history="1">
            <w:r w:rsidRPr="00ED7184">
              <w:rPr>
                <w:rStyle w:val="Hipervnculo"/>
                <w:rFonts w:ascii="Arial" w:eastAsia="Arial" w:hAnsi="Arial" w:cs="Arial"/>
                <w:noProof/>
                <w:sz w:val="22"/>
                <w:szCs w:val="22"/>
              </w:rPr>
              <w:t>4.6</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rPr>
              <w:t>Barreras de acceso Año 2025 EPS COOSALUD</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_Toc229397841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31</w:t>
            </w:r>
            <w:r w:rsidRPr="00ED7184">
              <w:rPr>
                <w:rFonts w:ascii="Arial" w:hAnsi="Arial" w:cs="Arial"/>
                <w:noProof/>
                <w:webHidden/>
                <w:sz w:val="22"/>
                <w:szCs w:val="22"/>
              </w:rPr>
              <w:fldChar w:fldCharType="end"/>
            </w:r>
          </w:hyperlink>
        </w:p>
        <w:p w14:paraId="549DFAE9" w14:textId="492FE2EA"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2" w:history="1">
            <w:r w:rsidRPr="00ED7184">
              <w:rPr>
                <w:rStyle w:val="Hipervnculo"/>
                <w:rFonts w:ascii="Arial" w:eastAsia="Arial" w:hAnsi="Arial" w:cs="Arial"/>
                <w:noProof/>
                <w:sz w:val="22"/>
                <w:szCs w:val="22"/>
              </w:rPr>
              <w:t>4.7</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rPr>
              <w:t>Pendientes de respuesta 2025 EPS COOSALUD</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_Toc229397842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33</w:t>
            </w:r>
            <w:r w:rsidRPr="00ED7184">
              <w:rPr>
                <w:rFonts w:ascii="Arial" w:hAnsi="Arial" w:cs="Arial"/>
                <w:noProof/>
                <w:webHidden/>
                <w:sz w:val="22"/>
                <w:szCs w:val="22"/>
              </w:rPr>
              <w:fldChar w:fldCharType="end"/>
            </w:r>
          </w:hyperlink>
        </w:p>
        <w:p w14:paraId="4BAFB1C2" w14:textId="3DBCD611" w:rsidR="00ED7184" w:rsidRPr="00ED7184" w:rsidRDefault="00ED7184" w:rsidP="00ED7184">
          <w:pPr>
            <w:pStyle w:val="TDC1"/>
            <w:rPr>
              <w:rFonts w:ascii="Arial" w:eastAsiaTheme="minorEastAsia" w:hAnsi="Arial" w:cs="Arial"/>
              <w:noProof/>
              <w:kern w:val="2"/>
              <w:sz w:val="22"/>
              <w:szCs w:val="22"/>
              <w:lang w:eastAsia="es-CO"/>
              <w14:ligatures w14:val="standardContextual"/>
            </w:rPr>
          </w:pPr>
          <w:hyperlink w:anchor="_Toc229397843" w:history="1">
            <w:r w:rsidRPr="00ED7184">
              <w:rPr>
                <w:rStyle w:val="Hipervnculo"/>
                <w:rFonts w:ascii="Arial" w:hAnsi="Arial" w:cs="Arial"/>
                <w:noProof/>
                <w:sz w:val="22"/>
                <w:szCs w:val="22"/>
                <w:lang w:val="es-ES"/>
              </w:rPr>
              <w:t>5.</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lang w:val="es-ES"/>
              </w:rPr>
              <w:t>RESULTADOS EN SALUD Y GESTIÓN DEL RIESGO</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_Toc229397843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34</w:t>
            </w:r>
            <w:r w:rsidRPr="00ED7184">
              <w:rPr>
                <w:rFonts w:ascii="Arial" w:hAnsi="Arial" w:cs="Arial"/>
                <w:noProof/>
                <w:webHidden/>
                <w:sz w:val="22"/>
                <w:szCs w:val="22"/>
              </w:rPr>
              <w:fldChar w:fldCharType="end"/>
            </w:r>
          </w:hyperlink>
        </w:p>
        <w:p w14:paraId="2E4335A5" w14:textId="10F80808"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4" w:history="1">
            <w:r w:rsidRPr="00ED7184">
              <w:rPr>
                <w:rStyle w:val="Hipervnculo"/>
                <w:rFonts w:ascii="Arial" w:hAnsi="Arial" w:cs="Arial"/>
                <w:noProof/>
                <w:sz w:val="22"/>
                <w:szCs w:val="22"/>
              </w:rPr>
              <w:t>5.1</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Mortalidad materna</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_Toc229397844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34</w:t>
            </w:r>
            <w:r w:rsidRPr="00ED7184">
              <w:rPr>
                <w:rFonts w:ascii="Arial" w:hAnsi="Arial" w:cs="Arial"/>
                <w:noProof/>
                <w:webHidden/>
                <w:sz w:val="22"/>
                <w:szCs w:val="22"/>
              </w:rPr>
              <w:fldChar w:fldCharType="end"/>
            </w:r>
          </w:hyperlink>
        </w:p>
        <w:p w14:paraId="636DD06F" w14:textId="2998DCDB"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5" w:history="1">
            <w:r w:rsidRPr="00ED7184">
              <w:rPr>
                <w:rStyle w:val="Hipervnculo"/>
                <w:rFonts w:ascii="Arial" w:hAnsi="Arial" w:cs="Arial"/>
                <w:noProof/>
                <w:sz w:val="22"/>
                <w:szCs w:val="22"/>
                <w:lang w:val="es-ES_tradnl" w:eastAsia="en-US"/>
              </w:rPr>
              <w:t>5.2</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Mortalidad Infantil</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_Toc229397845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36</w:t>
            </w:r>
            <w:r w:rsidRPr="00ED7184">
              <w:rPr>
                <w:rFonts w:ascii="Arial" w:hAnsi="Arial" w:cs="Arial"/>
                <w:noProof/>
                <w:webHidden/>
                <w:sz w:val="22"/>
                <w:szCs w:val="22"/>
              </w:rPr>
              <w:fldChar w:fldCharType="end"/>
            </w:r>
          </w:hyperlink>
        </w:p>
        <w:p w14:paraId="06E215D5" w14:textId="1E806C10"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6" w:history="1">
            <w:r w:rsidRPr="00ED7184">
              <w:rPr>
                <w:rStyle w:val="Hipervnculo"/>
                <w:rFonts w:ascii="Arial" w:hAnsi="Arial" w:cs="Arial"/>
                <w:noProof/>
                <w:sz w:val="22"/>
                <w:szCs w:val="22"/>
              </w:rPr>
              <w:t>5.3. Coberturas de Vacunación.</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_Toc229397846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39</w:t>
            </w:r>
            <w:r w:rsidRPr="00ED7184">
              <w:rPr>
                <w:rFonts w:ascii="Arial" w:hAnsi="Arial" w:cs="Arial"/>
                <w:noProof/>
                <w:webHidden/>
                <w:sz w:val="22"/>
                <w:szCs w:val="22"/>
              </w:rPr>
              <w:fldChar w:fldCharType="end"/>
            </w:r>
          </w:hyperlink>
        </w:p>
        <w:p w14:paraId="2A6C4840" w14:textId="55DADB7A"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7" w:history="1">
            <w:r w:rsidRPr="00ED7184">
              <w:rPr>
                <w:rStyle w:val="Hipervnculo"/>
                <w:rFonts w:ascii="Arial" w:hAnsi="Arial" w:cs="Arial"/>
                <w:noProof/>
                <w:sz w:val="22"/>
                <w:szCs w:val="22"/>
              </w:rPr>
              <w:t>5.3.1</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Triple viral de 1 año</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_Toc229397847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40</w:t>
            </w:r>
            <w:r w:rsidRPr="00ED7184">
              <w:rPr>
                <w:rFonts w:ascii="Arial" w:hAnsi="Arial" w:cs="Arial"/>
                <w:noProof/>
                <w:webHidden/>
                <w:sz w:val="22"/>
                <w:szCs w:val="22"/>
              </w:rPr>
              <w:fldChar w:fldCharType="end"/>
            </w:r>
          </w:hyperlink>
        </w:p>
        <w:p w14:paraId="171C77C0" w14:textId="0FD85989"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8" w:history="1">
            <w:r w:rsidRPr="00ED7184">
              <w:rPr>
                <w:rStyle w:val="Hipervnculo"/>
                <w:rFonts w:ascii="Arial" w:hAnsi="Arial" w:cs="Arial"/>
                <w:noProof/>
                <w:sz w:val="22"/>
                <w:szCs w:val="22"/>
              </w:rPr>
              <w:t>5.3.2</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Triple viral de 18–23 meses: trazador funcional del cierre de esquema para sarampión-rubéola</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_Toc229397848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41</w:t>
            </w:r>
            <w:r w:rsidRPr="00ED7184">
              <w:rPr>
                <w:rFonts w:ascii="Arial" w:hAnsi="Arial" w:cs="Arial"/>
                <w:noProof/>
                <w:webHidden/>
                <w:sz w:val="22"/>
                <w:szCs w:val="22"/>
              </w:rPr>
              <w:fldChar w:fldCharType="end"/>
            </w:r>
          </w:hyperlink>
        </w:p>
        <w:p w14:paraId="3A2AB294" w14:textId="38D1D87D"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49" w:history="1">
            <w:r w:rsidRPr="00ED7184">
              <w:rPr>
                <w:rStyle w:val="Hipervnculo"/>
                <w:rFonts w:ascii="Arial" w:hAnsi="Arial" w:cs="Arial"/>
                <w:noProof/>
                <w:sz w:val="22"/>
                <w:szCs w:val="22"/>
              </w:rPr>
              <w:t>5.3.3</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DPT segundo refuerzo a los 5 años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_Toc229397849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42</w:t>
            </w:r>
            <w:r w:rsidRPr="00ED7184">
              <w:rPr>
                <w:rFonts w:ascii="Arial" w:hAnsi="Arial" w:cs="Arial"/>
                <w:noProof/>
                <w:webHidden/>
                <w:sz w:val="22"/>
                <w:szCs w:val="22"/>
              </w:rPr>
              <w:fldChar w:fldCharType="end"/>
            </w:r>
          </w:hyperlink>
        </w:p>
        <w:p w14:paraId="1311A997" w14:textId="1333139E"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0" w:history="1">
            <w:r w:rsidRPr="00ED7184">
              <w:rPr>
                <w:rStyle w:val="Hipervnculo"/>
                <w:rFonts w:ascii="Arial" w:hAnsi="Arial" w:cs="Arial"/>
                <w:noProof/>
                <w:sz w:val="22"/>
                <w:szCs w:val="22"/>
              </w:rPr>
              <w:t>5.3.4</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Vacunación contra VPH en niños y niñas de 9 años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_Toc229397850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42</w:t>
            </w:r>
            <w:r w:rsidRPr="00ED7184">
              <w:rPr>
                <w:rFonts w:ascii="Arial" w:hAnsi="Arial" w:cs="Arial"/>
                <w:noProof/>
                <w:webHidden/>
                <w:sz w:val="22"/>
                <w:szCs w:val="22"/>
              </w:rPr>
              <w:fldChar w:fldCharType="end"/>
            </w:r>
          </w:hyperlink>
        </w:p>
        <w:p w14:paraId="27A3C6D2" w14:textId="2DA6F433"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1" w:history="1">
            <w:r w:rsidRPr="00ED7184">
              <w:rPr>
                <w:rStyle w:val="Hipervnculo"/>
                <w:rFonts w:ascii="Arial" w:hAnsi="Arial" w:cs="Arial"/>
                <w:noProof/>
                <w:sz w:val="22"/>
                <w:szCs w:val="22"/>
              </w:rPr>
              <w:t>5.3.5</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Vacunación contra influenza: señal de riesgo respiratorio en grupos priorizados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_Toc229397851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43</w:t>
            </w:r>
            <w:r w:rsidRPr="00ED7184">
              <w:rPr>
                <w:rFonts w:ascii="Arial" w:hAnsi="Arial" w:cs="Arial"/>
                <w:noProof/>
                <w:webHidden/>
                <w:sz w:val="22"/>
                <w:szCs w:val="22"/>
              </w:rPr>
              <w:fldChar w:fldCharType="end"/>
            </w:r>
          </w:hyperlink>
        </w:p>
        <w:p w14:paraId="510F2C45" w14:textId="7C4993E5"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2" w:history="1">
            <w:r w:rsidRPr="00ED7184">
              <w:rPr>
                <w:rStyle w:val="Hipervnculo"/>
                <w:rFonts w:ascii="Arial" w:hAnsi="Arial" w:cs="Arial"/>
                <w:noProof/>
                <w:sz w:val="22"/>
                <w:szCs w:val="22"/>
              </w:rPr>
              <w:t>5.3.6</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Vacunación contra sarampión-rubéola</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_Toc229397852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44</w:t>
            </w:r>
            <w:r w:rsidRPr="00ED7184">
              <w:rPr>
                <w:rFonts w:ascii="Arial" w:hAnsi="Arial" w:cs="Arial"/>
                <w:noProof/>
                <w:webHidden/>
                <w:sz w:val="22"/>
                <w:szCs w:val="22"/>
              </w:rPr>
              <w:fldChar w:fldCharType="end"/>
            </w:r>
          </w:hyperlink>
        </w:p>
        <w:p w14:paraId="4E2245EE" w14:textId="265DC1F8" w:rsidR="00ED7184" w:rsidRPr="00ED7184" w:rsidRDefault="00ED7184" w:rsidP="00ED7184">
          <w:pPr>
            <w:pStyle w:val="TDC1"/>
            <w:rPr>
              <w:rFonts w:ascii="Arial" w:eastAsiaTheme="minorEastAsia" w:hAnsi="Arial" w:cs="Arial"/>
              <w:noProof/>
              <w:kern w:val="2"/>
              <w:sz w:val="22"/>
              <w:szCs w:val="22"/>
              <w:lang w:eastAsia="es-CO"/>
              <w14:ligatures w14:val="standardContextual"/>
            </w:rPr>
          </w:pPr>
          <w:hyperlink w:anchor="_Toc229397853" w:history="1">
            <w:r w:rsidRPr="00ED7184">
              <w:rPr>
                <w:rStyle w:val="Hipervnculo"/>
                <w:rFonts w:ascii="Arial" w:hAnsi="Arial" w:cs="Arial"/>
                <w:noProof/>
                <w:sz w:val="22"/>
                <w:szCs w:val="22"/>
                <w:lang w:val="es-ES"/>
              </w:rPr>
              <w:t>6.</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lang w:val="es-ES"/>
              </w:rPr>
              <w:t>RED PRESTADORA Y CAPACIDAD INSTALADA</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_Toc229397853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45</w:t>
            </w:r>
            <w:r w:rsidRPr="00ED7184">
              <w:rPr>
                <w:rFonts w:ascii="Arial" w:hAnsi="Arial" w:cs="Arial"/>
                <w:noProof/>
                <w:webHidden/>
                <w:sz w:val="22"/>
                <w:szCs w:val="22"/>
              </w:rPr>
              <w:fldChar w:fldCharType="end"/>
            </w:r>
          </w:hyperlink>
        </w:p>
        <w:p w14:paraId="13E1A6C3" w14:textId="6C6207BE"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4" w:history="1">
            <w:r w:rsidRPr="00ED7184">
              <w:rPr>
                <w:rStyle w:val="Hipervnculo"/>
                <w:rFonts w:ascii="Arial" w:hAnsi="Arial" w:cs="Arial"/>
                <w:noProof/>
                <w:sz w:val="22"/>
                <w:szCs w:val="22"/>
              </w:rPr>
              <w:t>6.1</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Análisis Coosalud Vs Grupo de atención y monitoreo en salud – GAMA Secretaría Distrital de Salud – Red Prestadora</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_Toc229397854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45</w:t>
            </w:r>
            <w:r w:rsidRPr="00ED7184">
              <w:rPr>
                <w:rFonts w:ascii="Arial" w:hAnsi="Arial" w:cs="Arial"/>
                <w:noProof/>
                <w:webHidden/>
                <w:sz w:val="22"/>
                <w:szCs w:val="22"/>
              </w:rPr>
              <w:fldChar w:fldCharType="end"/>
            </w:r>
          </w:hyperlink>
        </w:p>
        <w:p w14:paraId="52C73E83" w14:textId="41303032"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5" w:history="1">
            <w:r w:rsidRPr="00ED7184">
              <w:rPr>
                <w:rStyle w:val="Hipervnculo"/>
                <w:rFonts w:ascii="Arial" w:hAnsi="Arial" w:cs="Arial"/>
                <w:noProof/>
                <w:sz w:val="22"/>
                <w:szCs w:val="22"/>
              </w:rPr>
              <w:t>6.2</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eastAsia="Arial" w:hAnsi="Arial" w:cs="Arial"/>
                <w:noProof/>
                <w:sz w:val="22"/>
                <w:szCs w:val="22"/>
                <w:lang w:val="es"/>
              </w:rPr>
              <w:t>Análisis COOSALUD EPS oportunidad en la asignación de citas médicas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_Toc229397855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50</w:t>
            </w:r>
            <w:r w:rsidRPr="00ED7184">
              <w:rPr>
                <w:rFonts w:ascii="Arial" w:hAnsi="Arial" w:cs="Arial"/>
                <w:noProof/>
                <w:webHidden/>
                <w:sz w:val="22"/>
                <w:szCs w:val="22"/>
              </w:rPr>
              <w:fldChar w:fldCharType="end"/>
            </w:r>
          </w:hyperlink>
        </w:p>
        <w:p w14:paraId="40B5FFDB" w14:textId="58CF05E0" w:rsidR="00ED7184" w:rsidRPr="00ED7184" w:rsidRDefault="00ED7184" w:rsidP="00ED7184">
          <w:pPr>
            <w:pStyle w:val="TDC1"/>
            <w:rPr>
              <w:rFonts w:ascii="Arial" w:eastAsiaTheme="minorEastAsia" w:hAnsi="Arial" w:cs="Arial"/>
              <w:noProof/>
              <w:kern w:val="2"/>
              <w:sz w:val="22"/>
              <w:szCs w:val="22"/>
              <w:lang w:eastAsia="es-CO"/>
              <w14:ligatures w14:val="standardContextual"/>
            </w:rPr>
          </w:pPr>
          <w:hyperlink w:anchor="_Toc229397856" w:history="1">
            <w:r w:rsidRPr="00ED7184">
              <w:rPr>
                <w:rStyle w:val="Hipervnculo"/>
                <w:rFonts w:ascii="Arial" w:hAnsi="Arial" w:cs="Arial"/>
                <w:noProof/>
                <w:sz w:val="22"/>
                <w:szCs w:val="22"/>
                <w:lang w:val="es-ES"/>
              </w:rPr>
              <w:t>7.</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lang w:val="es-ES"/>
              </w:rPr>
              <w:t>MEDICAMENTOS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_Toc229397856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50</w:t>
            </w:r>
            <w:r w:rsidRPr="00ED7184">
              <w:rPr>
                <w:rFonts w:ascii="Arial" w:hAnsi="Arial" w:cs="Arial"/>
                <w:noProof/>
                <w:webHidden/>
                <w:sz w:val="22"/>
                <w:szCs w:val="22"/>
              </w:rPr>
              <w:fldChar w:fldCharType="end"/>
            </w:r>
          </w:hyperlink>
        </w:p>
        <w:p w14:paraId="21254D5A" w14:textId="3BD79A1B"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7" w:history="1">
            <w:r w:rsidRPr="00ED7184">
              <w:rPr>
                <w:rStyle w:val="Hipervnculo"/>
                <w:rFonts w:ascii="Arial" w:hAnsi="Arial" w:cs="Arial"/>
                <w:noProof/>
                <w:sz w:val="22"/>
                <w:szCs w:val="22"/>
                <w:bdr w:val="none" w:sz="0" w:space="0" w:color="auto" w:frame="1"/>
              </w:rPr>
              <w:t>7.1</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Análisis de información del servicio farmacéutico aportada por COOSALUD</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_Toc229397857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50</w:t>
            </w:r>
            <w:r w:rsidRPr="00ED7184">
              <w:rPr>
                <w:rFonts w:ascii="Arial" w:hAnsi="Arial" w:cs="Arial"/>
                <w:noProof/>
                <w:webHidden/>
                <w:sz w:val="22"/>
                <w:szCs w:val="22"/>
              </w:rPr>
              <w:fldChar w:fldCharType="end"/>
            </w:r>
          </w:hyperlink>
        </w:p>
        <w:p w14:paraId="2F15328A" w14:textId="10842666" w:rsidR="00ED7184" w:rsidRPr="00ED7184" w:rsidRDefault="00ED7184" w:rsidP="00ED7184">
          <w:pPr>
            <w:pStyle w:val="TDC1"/>
            <w:rPr>
              <w:rFonts w:ascii="Arial" w:eastAsiaTheme="minorEastAsia" w:hAnsi="Arial" w:cs="Arial"/>
              <w:noProof/>
              <w:kern w:val="2"/>
              <w:sz w:val="22"/>
              <w:szCs w:val="22"/>
              <w:lang w:eastAsia="es-CO"/>
              <w14:ligatures w14:val="standardContextual"/>
            </w:rPr>
          </w:pPr>
          <w:hyperlink w:anchor="_Toc229397858" w:history="1">
            <w:r w:rsidRPr="00ED7184">
              <w:rPr>
                <w:rStyle w:val="Hipervnculo"/>
                <w:rFonts w:ascii="Arial" w:hAnsi="Arial" w:cs="Arial"/>
                <w:noProof/>
                <w:sz w:val="22"/>
                <w:szCs w:val="22"/>
                <w:lang w:val="es-ES"/>
              </w:rPr>
              <w:t>8.</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lang w:val="es-ES"/>
              </w:rPr>
              <w:t>ANÁLISIS FINANCIERO INFORME COOSALUD</w:t>
            </w:r>
            <w:r w:rsidRPr="00ED7184">
              <w:rPr>
                <w:rStyle w:val="Hipervnculo"/>
                <w:rFonts w:ascii="Arial" w:hAnsi="Arial" w:cs="Arial"/>
                <w:noProof/>
                <w:sz w:val="22"/>
                <w:szCs w:val="22"/>
              </w:rPr>
              <w:t xml:space="preserve"> EPS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_Toc229397858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52</w:t>
            </w:r>
            <w:r w:rsidRPr="00ED7184">
              <w:rPr>
                <w:rFonts w:ascii="Arial" w:hAnsi="Arial" w:cs="Arial"/>
                <w:noProof/>
                <w:webHidden/>
                <w:sz w:val="22"/>
                <w:szCs w:val="22"/>
              </w:rPr>
              <w:fldChar w:fldCharType="end"/>
            </w:r>
          </w:hyperlink>
        </w:p>
        <w:p w14:paraId="5B409E7D" w14:textId="726483BD"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59" w:history="1">
            <w:r w:rsidRPr="00ED7184">
              <w:rPr>
                <w:rStyle w:val="Hipervnculo"/>
                <w:rFonts w:ascii="Arial" w:hAnsi="Arial" w:cs="Arial"/>
                <w:noProof/>
                <w:sz w:val="22"/>
                <w:szCs w:val="22"/>
              </w:rPr>
              <w:t>8.1</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Estado de la situación financiera (2021–2025)</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_Toc229397859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52</w:t>
            </w:r>
            <w:r w:rsidRPr="00ED7184">
              <w:rPr>
                <w:rFonts w:ascii="Arial" w:hAnsi="Arial" w:cs="Arial"/>
                <w:noProof/>
                <w:webHidden/>
                <w:sz w:val="22"/>
                <w:szCs w:val="22"/>
              </w:rPr>
              <w:fldChar w:fldCharType="end"/>
            </w:r>
          </w:hyperlink>
        </w:p>
        <w:p w14:paraId="590D10C1" w14:textId="55DB9226"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0" w:history="1">
            <w:r w:rsidRPr="00ED7184">
              <w:rPr>
                <w:rStyle w:val="Hipervnculo"/>
                <w:rFonts w:ascii="Arial" w:hAnsi="Arial" w:cs="Arial"/>
                <w:noProof/>
                <w:sz w:val="22"/>
                <w:szCs w:val="22"/>
              </w:rPr>
              <w:t>8.2</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Cuentas por pagar (2021–2025)</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_Toc229397860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57</w:t>
            </w:r>
            <w:r w:rsidRPr="00ED7184">
              <w:rPr>
                <w:rFonts w:ascii="Arial" w:hAnsi="Arial" w:cs="Arial"/>
                <w:noProof/>
                <w:webHidden/>
                <w:sz w:val="22"/>
                <w:szCs w:val="22"/>
              </w:rPr>
              <w:fldChar w:fldCharType="end"/>
            </w:r>
          </w:hyperlink>
        </w:p>
        <w:p w14:paraId="654892CE" w14:textId="780B83FC"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1" w:history="1">
            <w:r w:rsidRPr="00ED7184">
              <w:rPr>
                <w:rStyle w:val="Hipervnculo"/>
                <w:rFonts w:ascii="Arial" w:hAnsi="Arial" w:cs="Arial"/>
                <w:noProof/>
                <w:sz w:val="22"/>
                <w:szCs w:val="22"/>
              </w:rPr>
              <w:t>8.3</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Reservas Técnicas (2021–2025)</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_Toc229397861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59</w:t>
            </w:r>
            <w:r w:rsidRPr="00ED7184">
              <w:rPr>
                <w:rFonts w:ascii="Arial" w:hAnsi="Arial" w:cs="Arial"/>
                <w:noProof/>
                <w:webHidden/>
                <w:sz w:val="22"/>
                <w:szCs w:val="22"/>
              </w:rPr>
              <w:fldChar w:fldCharType="end"/>
            </w:r>
          </w:hyperlink>
        </w:p>
        <w:p w14:paraId="2C34C8BF" w14:textId="1FE4B676"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2" w:history="1">
            <w:r w:rsidRPr="00ED7184">
              <w:rPr>
                <w:rStyle w:val="Hipervnculo"/>
                <w:rFonts w:ascii="Arial" w:hAnsi="Arial" w:cs="Arial"/>
                <w:noProof/>
                <w:sz w:val="22"/>
                <w:szCs w:val="22"/>
              </w:rPr>
              <w:t>8.4</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Patrimonio (2021-2025)</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_Toc229397862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62</w:t>
            </w:r>
            <w:r w:rsidRPr="00ED7184">
              <w:rPr>
                <w:rFonts w:ascii="Arial" w:hAnsi="Arial" w:cs="Arial"/>
                <w:noProof/>
                <w:webHidden/>
                <w:sz w:val="22"/>
                <w:szCs w:val="22"/>
              </w:rPr>
              <w:fldChar w:fldCharType="end"/>
            </w:r>
          </w:hyperlink>
        </w:p>
        <w:p w14:paraId="00060E0C" w14:textId="1AFD78E3"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3" w:history="1">
            <w:r w:rsidRPr="00ED7184">
              <w:rPr>
                <w:rStyle w:val="Hipervnculo"/>
                <w:rFonts w:ascii="Arial" w:hAnsi="Arial" w:cs="Arial"/>
                <w:noProof/>
                <w:sz w:val="22"/>
                <w:szCs w:val="22"/>
              </w:rPr>
              <w:t>8.5</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Endeudamiento (2021–2025)</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_Toc229397863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64</w:t>
            </w:r>
            <w:r w:rsidRPr="00ED7184">
              <w:rPr>
                <w:rFonts w:ascii="Arial" w:hAnsi="Arial" w:cs="Arial"/>
                <w:noProof/>
                <w:webHidden/>
                <w:sz w:val="22"/>
                <w:szCs w:val="22"/>
              </w:rPr>
              <w:fldChar w:fldCharType="end"/>
            </w:r>
          </w:hyperlink>
        </w:p>
        <w:p w14:paraId="0355A0DB" w14:textId="1542AEE8" w:rsidR="00ED7184" w:rsidRPr="00ED7184" w:rsidRDefault="00ED7184" w:rsidP="00ED7184">
          <w:pPr>
            <w:pStyle w:val="TDC2"/>
            <w:spacing w:after="0"/>
            <w:ind w:left="0"/>
            <w:rPr>
              <w:rFonts w:ascii="Arial" w:eastAsiaTheme="minorEastAsia" w:hAnsi="Arial" w:cs="Arial"/>
              <w:noProof/>
              <w:kern w:val="2"/>
              <w:sz w:val="22"/>
              <w:szCs w:val="22"/>
              <w:lang w:eastAsia="es-CO"/>
              <w14:ligatures w14:val="standardContextual"/>
            </w:rPr>
          </w:pPr>
          <w:hyperlink w:anchor="_Toc229397864" w:history="1">
            <w:r w:rsidRPr="00ED7184">
              <w:rPr>
                <w:rStyle w:val="Hipervnculo"/>
                <w:rFonts w:ascii="Arial" w:hAnsi="Arial" w:cs="Arial"/>
                <w:noProof/>
                <w:sz w:val="22"/>
                <w:szCs w:val="22"/>
              </w:rPr>
              <w:t>8.6</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Siniestralidad (enero a diciembre de 2025)</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_Toc229397864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67</w:t>
            </w:r>
            <w:r w:rsidRPr="00ED7184">
              <w:rPr>
                <w:rFonts w:ascii="Arial" w:hAnsi="Arial" w:cs="Arial"/>
                <w:noProof/>
                <w:webHidden/>
                <w:sz w:val="22"/>
                <w:szCs w:val="22"/>
              </w:rPr>
              <w:fldChar w:fldCharType="end"/>
            </w:r>
          </w:hyperlink>
        </w:p>
        <w:p w14:paraId="07089169" w14:textId="7C67BB22" w:rsidR="00ED7184" w:rsidRPr="00ED7184" w:rsidRDefault="00ED7184" w:rsidP="00ED7184">
          <w:pPr>
            <w:pStyle w:val="TDC1"/>
            <w:rPr>
              <w:rFonts w:ascii="Arial" w:eastAsiaTheme="minorEastAsia" w:hAnsi="Arial" w:cs="Arial"/>
              <w:noProof/>
              <w:kern w:val="2"/>
              <w:sz w:val="22"/>
              <w:szCs w:val="22"/>
              <w:lang w:eastAsia="es-CO"/>
              <w14:ligatures w14:val="standardContextual"/>
            </w:rPr>
          </w:pPr>
          <w:hyperlink w:anchor="_Toc229397865" w:history="1">
            <w:r w:rsidRPr="00ED7184">
              <w:rPr>
                <w:rStyle w:val="Hipervnculo"/>
                <w:rFonts w:ascii="Arial" w:hAnsi="Arial" w:cs="Arial"/>
                <w:noProof/>
                <w:sz w:val="22"/>
                <w:szCs w:val="22"/>
              </w:rPr>
              <w:t>9.</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CONCLUSIONES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_Toc229397865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69</w:t>
            </w:r>
            <w:r w:rsidRPr="00ED7184">
              <w:rPr>
                <w:rFonts w:ascii="Arial" w:hAnsi="Arial" w:cs="Arial"/>
                <w:noProof/>
                <w:webHidden/>
                <w:sz w:val="22"/>
                <w:szCs w:val="22"/>
              </w:rPr>
              <w:fldChar w:fldCharType="end"/>
            </w:r>
          </w:hyperlink>
        </w:p>
        <w:p w14:paraId="6EBF0B7A" w14:textId="51500F03" w:rsidR="00ED7184" w:rsidRPr="00ED7184" w:rsidRDefault="00ED7184" w:rsidP="00ED7184">
          <w:pPr>
            <w:pStyle w:val="TDC1"/>
            <w:rPr>
              <w:rFonts w:ascii="Arial" w:eastAsiaTheme="minorEastAsia" w:hAnsi="Arial" w:cs="Arial"/>
              <w:noProof/>
              <w:kern w:val="2"/>
              <w:sz w:val="22"/>
              <w:szCs w:val="22"/>
              <w:lang w:eastAsia="es-CO"/>
              <w14:ligatures w14:val="standardContextual"/>
            </w:rPr>
          </w:pPr>
          <w:hyperlink w:anchor="_Toc229397866" w:history="1">
            <w:r w:rsidRPr="00ED7184">
              <w:rPr>
                <w:rStyle w:val="Hipervnculo"/>
                <w:rFonts w:ascii="Arial" w:hAnsi="Arial" w:cs="Arial"/>
                <w:noProof/>
                <w:sz w:val="22"/>
                <w:szCs w:val="22"/>
              </w:rPr>
              <w:t>10.</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GLOSARIO DE TERMINOS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_Toc229397866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70</w:t>
            </w:r>
            <w:r w:rsidRPr="00ED7184">
              <w:rPr>
                <w:rFonts w:ascii="Arial" w:hAnsi="Arial" w:cs="Arial"/>
                <w:noProof/>
                <w:webHidden/>
                <w:sz w:val="22"/>
                <w:szCs w:val="22"/>
              </w:rPr>
              <w:fldChar w:fldCharType="end"/>
            </w:r>
          </w:hyperlink>
        </w:p>
        <w:p w14:paraId="32284705" w14:textId="7FDDC3E4" w:rsidR="00ED7184" w:rsidRPr="00ED7184" w:rsidRDefault="00ED7184" w:rsidP="00ED7184">
          <w:pPr>
            <w:pStyle w:val="TDC1"/>
            <w:rPr>
              <w:rFonts w:ascii="Arial" w:eastAsiaTheme="minorEastAsia" w:hAnsi="Arial" w:cs="Arial"/>
              <w:noProof/>
              <w:kern w:val="2"/>
              <w:sz w:val="22"/>
              <w:szCs w:val="22"/>
              <w:lang w:eastAsia="es-CO"/>
              <w14:ligatures w14:val="standardContextual"/>
            </w:rPr>
          </w:pPr>
          <w:hyperlink w:anchor="_Toc229397867" w:history="1">
            <w:r w:rsidRPr="00ED7184">
              <w:rPr>
                <w:rStyle w:val="Hipervnculo"/>
                <w:rFonts w:ascii="Arial" w:hAnsi="Arial" w:cs="Arial"/>
                <w:noProof/>
                <w:sz w:val="22"/>
                <w:szCs w:val="22"/>
              </w:rPr>
              <w:t>11.</w:t>
            </w:r>
            <w:r w:rsidRPr="00ED7184">
              <w:rPr>
                <w:rFonts w:ascii="Arial" w:eastAsiaTheme="minorEastAsia" w:hAnsi="Arial" w:cs="Arial"/>
                <w:noProof/>
                <w:kern w:val="2"/>
                <w:sz w:val="22"/>
                <w:szCs w:val="22"/>
                <w:lang w:eastAsia="es-CO"/>
                <w14:ligatures w14:val="standardContextual"/>
              </w:rPr>
              <w:tab/>
            </w:r>
            <w:r w:rsidRPr="00ED7184">
              <w:rPr>
                <w:rStyle w:val="Hipervnculo"/>
                <w:rFonts w:ascii="Arial" w:hAnsi="Arial" w:cs="Arial"/>
                <w:noProof/>
                <w:sz w:val="22"/>
                <w:szCs w:val="22"/>
              </w:rPr>
              <w:t>REFERENCIAS BIBLIOGRÁFICAS</w:t>
            </w:r>
            <w:r w:rsidRPr="00ED7184">
              <w:rPr>
                <w:rFonts w:ascii="Arial" w:hAnsi="Arial" w:cs="Arial"/>
                <w:noProof/>
                <w:webHidden/>
                <w:sz w:val="22"/>
                <w:szCs w:val="22"/>
              </w:rPr>
              <w:tab/>
            </w:r>
            <w:r w:rsidRPr="00ED7184">
              <w:rPr>
                <w:rFonts w:ascii="Arial" w:hAnsi="Arial" w:cs="Arial"/>
                <w:noProof/>
                <w:webHidden/>
                <w:sz w:val="22"/>
                <w:szCs w:val="22"/>
              </w:rPr>
              <w:fldChar w:fldCharType="begin"/>
            </w:r>
            <w:r w:rsidRPr="00ED7184">
              <w:rPr>
                <w:rFonts w:ascii="Arial" w:hAnsi="Arial" w:cs="Arial"/>
                <w:noProof/>
                <w:webHidden/>
                <w:sz w:val="22"/>
                <w:szCs w:val="22"/>
              </w:rPr>
              <w:instrText xml:space="preserve"> PAGEREF _Toc229397867 \h </w:instrText>
            </w:r>
            <w:r w:rsidRPr="00ED7184">
              <w:rPr>
                <w:rFonts w:ascii="Arial" w:hAnsi="Arial" w:cs="Arial"/>
                <w:noProof/>
                <w:webHidden/>
                <w:sz w:val="22"/>
                <w:szCs w:val="22"/>
              </w:rPr>
            </w:r>
            <w:r w:rsidRPr="00ED7184">
              <w:rPr>
                <w:rFonts w:ascii="Arial" w:hAnsi="Arial" w:cs="Arial"/>
                <w:noProof/>
                <w:webHidden/>
                <w:sz w:val="22"/>
                <w:szCs w:val="22"/>
              </w:rPr>
              <w:fldChar w:fldCharType="separate"/>
            </w:r>
            <w:r w:rsidRPr="00ED7184">
              <w:rPr>
                <w:rFonts w:ascii="Arial" w:hAnsi="Arial" w:cs="Arial"/>
                <w:noProof/>
                <w:webHidden/>
                <w:sz w:val="22"/>
                <w:szCs w:val="22"/>
              </w:rPr>
              <w:t>73</w:t>
            </w:r>
            <w:r w:rsidRPr="00ED7184">
              <w:rPr>
                <w:rFonts w:ascii="Arial" w:hAnsi="Arial" w:cs="Arial"/>
                <w:noProof/>
                <w:webHidden/>
                <w:sz w:val="22"/>
                <w:szCs w:val="22"/>
              </w:rPr>
              <w:fldChar w:fldCharType="end"/>
            </w:r>
          </w:hyperlink>
        </w:p>
        <w:p w14:paraId="48977EFD" w14:textId="4E394A48" w:rsidR="00C30FD4" w:rsidRPr="00ED7184" w:rsidRDefault="00C30FD4" w:rsidP="00ED7184">
          <w:pPr>
            <w:spacing w:line="360" w:lineRule="auto"/>
            <w:jc w:val="both"/>
            <w:rPr>
              <w:rFonts w:ascii="Arial" w:hAnsi="Arial" w:cs="Arial"/>
              <w:sz w:val="22"/>
              <w:szCs w:val="22"/>
            </w:rPr>
          </w:pPr>
          <w:r w:rsidRPr="00ED7184">
            <w:rPr>
              <w:rFonts w:ascii="Arial" w:hAnsi="Arial" w:cs="Arial"/>
              <w:sz w:val="22"/>
              <w:szCs w:val="22"/>
              <w:lang w:val="es-ES"/>
            </w:rPr>
            <w:fldChar w:fldCharType="end"/>
          </w:r>
        </w:p>
      </w:sdtContent>
    </w:sdt>
    <w:p w14:paraId="41E4EA3E" w14:textId="4A14A689" w:rsidR="005413D2" w:rsidRDefault="008036C2" w:rsidP="00CB4D7A">
      <w:pPr>
        <w:pStyle w:val="Ttulo1"/>
        <w:spacing w:before="0" w:line="360" w:lineRule="auto"/>
        <w:jc w:val="center"/>
        <w:rPr>
          <w:rFonts w:ascii="Arial" w:eastAsia="Arial" w:hAnsi="Arial" w:cs="Arial"/>
          <w:b/>
          <w:bCs/>
          <w:color w:val="auto"/>
          <w:sz w:val="22"/>
          <w:szCs w:val="22"/>
        </w:rPr>
      </w:pPr>
      <w:bookmarkStart w:id="2" w:name="_Toc229397826"/>
      <w:r w:rsidRPr="008053AF">
        <w:rPr>
          <w:rFonts w:ascii="Arial" w:eastAsia="Arial" w:hAnsi="Arial" w:cs="Arial"/>
          <w:b/>
          <w:bCs/>
          <w:color w:val="auto"/>
          <w:sz w:val="22"/>
          <w:szCs w:val="22"/>
        </w:rPr>
        <w:t>INDICE DE TABLAS</w:t>
      </w:r>
      <w:bookmarkEnd w:id="2"/>
    </w:p>
    <w:p w14:paraId="24F66723" w14:textId="77777777" w:rsidR="0088735C" w:rsidRPr="0088735C" w:rsidRDefault="0088735C" w:rsidP="0088735C">
      <w:pPr>
        <w:rPr>
          <w:rFonts w:eastAsia="Arial"/>
        </w:rPr>
      </w:pPr>
    </w:p>
    <w:p w14:paraId="73BF38A7" w14:textId="3744FCAC" w:rsidR="008053AF" w:rsidRPr="008053AF" w:rsidRDefault="008036C2"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r w:rsidRPr="008053AF">
        <w:rPr>
          <w:rFonts w:ascii="Arial" w:hAnsi="Arial" w:cs="Arial"/>
          <w:b/>
          <w:bCs/>
          <w:sz w:val="22"/>
          <w:szCs w:val="22"/>
        </w:rPr>
        <w:fldChar w:fldCharType="begin"/>
      </w:r>
      <w:r w:rsidRPr="008053AF">
        <w:rPr>
          <w:rFonts w:ascii="Arial" w:hAnsi="Arial" w:cs="Arial"/>
          <w:b/>
          <w:bCs/>
          <w:sz w:val="22"/>
          <w:szCs w:val="22"/>
        </w:rPr>
        <w:instrText xml:space="preserve"> TOC \h \z \c "Tabla" </w:instrText>
      </w:r>
      <w:r w:rsidRPr="008053AF">
        <w:rPr>
          <w:rFonts w:ascii="Arial" w:hAnsi="Arial" w:cs="Arial"/>
          <w:b/>
          <w:bCs/>
          <w:sz w:val="22"/>
          <w:szCs w:val="22"/>
        </w:rPr>
        <w:fldChar w:fldCharType="separate"/>
      </w:r>
      <w:hyperlink w:anchor="_Toc229395858" w:history="1">
        <w:r w:rsidR="008053AF" w:rsidRPr="008053AF">
          <w:rPr>
            <w:rStyle w:val="Hipervnculo"/>
            <w:rFonts w:ascii="Arial" w:hAnsi="Arial" w:cs="Arial"/>
            <w:noProof/>
            <w:sz w:val="22"/>
            <w:szCs w:val="22"/>
          </w:rPr>
          <w:t xml:space="preserve">Tabla 1. </w:t>
        </w:r>
        <w:r w:rsidR="008053AF" w:rsidRPr="008053AF">
          <w:rPr>
            <w:rStyle w:val="Hipervnculo"/>
            <w:rFonts w:ascii="Arial" w:eastAsia="Arial" w:hAnsi="Arial" w:cs="Arial"/>
            <w:noProof/>
            <w:sz w:val="22"/>
            <w:szCs w:val="22"/>
            <w:lang w:val="es"/>
          </w:rPr>
          <w:t>Estado del aseguramiento población de Bogotá, 2025</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_Toc229395858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8</w:t>
        </w:r>
        <w:r w:rsidR="008053AF" w:rsidRPr="008053AF">
          <w:rPr>
            <w:rFonts w:ascii="Arial" w:hAnsi="Arial" w:cs="Arial"/>
            <w:noProof/>
            <w:webHidden/>
            <w:sz w:val="22"/>
            <w:szCs w:val="22"/>
          </w:rPr>
          <w:fldChar w:fldCharType="end"/>
        </w:r>
      </w:hyperlink>
    </w:p>
    <w:p w14:paraId="09ED5F8C" w14:textId="5147BE47"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59" w:history="1">
        <w:r w:rsidRPr="008053AF">
          <w:rPr>
            <w:rStyle w:val="Hipervnculo"/>
            <w:rFonts w:ascii="Arial" w:hAnsi="Arial" w:cs="Arial"/>
            <w:noProof/>
            <w:sz w:val="22"/>
            <w:szCs w:val="22"/>
          </w:rPr>
          <w:t xml:space="preserve">Tabla 2. </w:t>
        </w:r>
        <w:r w:rsidRPr="008053AF">
          <w:rPr>
            <w:rStyle w:val="Hipervnculo"/>
            <w:rFonts w:ascii="Arial" w:eastAsia="Arial" w:hAnsi="Arial" w:cs="Arial"/>
            <w:noProof/>
            <w:sz w:val="22"/>
            <w:szCs w:val="22"/>
            <w:lang w:val="es"/>
          </w:rPr>
          <w:t>Afiliados en Bogotá por EPS, 2025</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_Toc229395859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8</w:t>
        </w:r>
        <w:r w:rsidRPr="008053AF">
          <w:rPr>
            <w:rFonts w:ascii="Arial" w:hAnsi="Arial" w:cs="Arial"/>
            <w:noProof/>
            <w:webHidden/>
            <w:sz w:val="22"/>
            <w:szCs w:val="22"/>
          </w:rPr>
          <w:fldChar w:fldCharType="end"/>
        </w:r>
      </w:hyperlink>
    </w:p>
    <w:p w14:paraId="72774184" w14:textId="3135C5B6"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0" w:history="1">
        <w:r w:rsidRPr="008053AF">
          <w:rPr>
            <w:rStyle w:val="Hipervnculo"/>
            <w:rFonts w:ascii="Arial" w:hAnsi="Arial" w:cs="Arial"/>
            <w:noProof/>
            <w:sz w:val="22"/>
            <w:szCs w:val="22"/>
          </w:rPr>
          <w:t xml:space="preserve">Tabla 3. </w:t>
        </w:r>
        <w:r w:rsidRPr="008053AF">
          <w:rPr>
            <w:rStyle w:val="Hipervnculo"/>
            <w:rFonts w:ascii="Arial" w:eastAsia="Arial" w:hAnsi="Arial" w:cs="Arial"/>
            <w:noProof/>
            <w:sz w:val="22"/>
            <w:szCs w:val="22"/>
          </w:rPr>
          <w:t>Total, de población afiliada a COOSALUD EPS 2021-2025 – Bogotá D.C.</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_Toc229395860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10</w:t>
        </w:r>
        <w:r w:rsidRPr="008053AF">
          <w:rPr>
            <w:rFonts w:ascii="Arial" w:hAnsi="Arial" w:cs="Arial"/>
            <w:noProof/>
            <w:webHidden/>
            <w:sz w:val="22"/>
            <w:szCs w:val="22"/>
          </w:rPr>
          <w:fldChar w:fldCharType="end"/>
        </w:r>
      </w:hyperlink>
    </w:p>
    <w:p w14:paraId="641965FA" w14:textId="60FB6C54"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1" w:history="1">
        <w:r w:rsidRPr="008053AF">
          <w:rPr>
            <w:rStyle w:val="Hipervnculo"/>
            <w:rFonts w:ascii="Arial" w:eastAsia="Arial" w:hAnsi="Arial" w:cs="Arial"/>
            <w:noProof/>
            <w:sz w:val="22"/>
            <w:szCs w:val="22"/>
          </w:rPr>
          <w:t>Tabla 4. Afiliados COOSALUD EPS municipios circunvecinos por régimen 2021-2025</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_Toc229395861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14</w:t>
        </w:r>
        <w:r w:rsidRPr="008053AF">
          <w:rPr>
            <w:rFonts w:ascii="Arial" w:hAnsi="Arial" w:cs="Arial"/>
            <w:noProof/>
            <w:webHidden/>
            <w:sz w:val="22"/>
            <w:szCs w:val="22"/>
          </w:rPr>
          <w:fldChar w:fldCharType="end"/>
        </w:r>
      </w:hyperlink>
    </w:p>
    <w:p w14:paraId="3D6A1FEE" w14:textId="49285F9E"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2" w:history="1">
        <w:r w:rsidRPr="008053AF">
          <w:rPr>
            <w:rStyle w:val="Hipervnculo"/>
            <w:rFonts w:ascii="Arial" w:hAnsi="Arial" w:cs="Arial"/>
            <w:noProof/>
            <w:sz w:val="22"/>
            <w:szCs w:val="22"/>
          </w:rPr>
          <w:t>Tabla</w:t>
        </w:r>
        <w:r w:rsidRPr="008053AF">
          <w:rPr>
            <w:rStyle w:val="Hipervnculo"/>
            <w:rFonts w:ascii="Arial" w:hAnsi="Arial" w:cs="Arial"/>
            <w:noProof/>
            <w:sz w:val="22"/>
            <w:szCs w:val="22"/>
          </w:rPr>
          <w:t xml:space="preserve"> </w:t>
        </w:r>
        <w:r w:rsidRPr="008053AF">
          <w:rPr>
            <w:rStyle w:val="Hipervnculo"/>
            <w:rFonts w:ascii="Arial" w:hAnsi="Arial" w:cs="Arial"/>
            <w:noProof/>
            <w:sz w:val="22"/>
            <w:szCs w:val="22"/>
          </w:rPr>
          <w:t>5. Particip</w:t>
        </w:r>
        <w:r w:rsidRPr="008053AF">
          <w:rPr>
            <w:rStyle w:val="Hipervnculo"/>
            <w:rFonts w:ascii="Arial" w:hAnsi="Arial" w:cs="Arial"/>
            <w:noProof/>
            <w:sz w:val="22"/>
            <w:szCs w:val="22"/>
          </w:rPr>
          <w:t>a</w:t>
        </w:r>
        <w:r w:rsidRPr="008053AF">
          <w:rPr>
            <w:rStyle w:val="Hipervnculo"/>
            <w:rFonts w:ascii="Arial" w:hAnsi="Arial" w:cs="Arial"/>
            <w:noProof/>
            <w:sz w:val="22"/>
            <w:szCs w:val="22"/>
          </w:rPr>
          <w:t>ción de los afiliados de Coosalud de Bogotá D.C en la afiliación nacional de Coosalud EPSS a 31 de diciembre de 2025</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_Toc229395862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15</w:t>
        </w:r>
        <w:r w:rsidRPr="008053AF">
          <w:rPr>
            <w:rFonts w:ascii="Arial" w:hAnsi="Arial" w:cs="Arial"/>
            <w:noProof/>
            <w:webHidden/>
            <w:sz w:val="22"/>
            <w:szCs w:val="22"/>
          </w:rPr>
          <w:fldChar w:fldCharType="end"/>
        </w:r>
      </w:hyperlink>
    </w:p>
    <w:p w14:paraId="2B57CDD2" w14:textId="072FDC38"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3" w:history="1">
        <w:r w:rsidRPr="008053AF">
          <w:rPr>
            <w:rStyle w:val="Hipervnculo"/>
            <w:rFonts w:ascii="Arial" w:hAnsi="Arial" w:cs="Arial"/>
            <w:noProof/>
            <w:sz w:val="22"/>
            <w:szCs w:val="22"/>
          </w:rPr>
          <w:t>Tabla 6. Afiliados de Coosalud EPS por rango de edad, Bogotá, diciembre de 2025</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_Toc229395863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17</w:t>
        </w:r>
        <w:r w:rsidRPr="008053AF">
          <w:rPr>
            <w:rFonts w:ascii="Arial" w:hAnsi="Arial" w:cs="Arial"/>
            <w:noProof/>
            <w:webHidden/>
            <w:sz w:val="22"/>
            <w:szCs w:val="22"/>
          </w:rPr>
          <w:fldChar w:fldCharType="end"/>
        </w:r>
      </w:hyperlink>
    </w:p>
    <w:p w14:paraId="627FBB64" w14:textId="4BBF17E6"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4" w:history="1">
        <w:r w:rsidRPr="008053AF">
          <w:rPr>
            <w:rStyle w:val="Hipervnculo"/>
            <w:rFonts w:ascii="Arial" w:eastAsia="Arial" w:hAnsi="Arial" w:cs="Arial"/>
            <w:noProof/>
            <w:sz w:val="22"/>
            <w:szCs w:val="22"/>
            <w:lang w:val="es-ES"/>
          </w:rPr>
          <w:t>Tabla 7. Porcentaje de Incumplimiento en la respuesta por Tipo de PQRS</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_Toc229395864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23</w:t>
        </w:r>
        <w:r w:rsidRPr="008053AF">
          <w:rPr>
            <w:rFonts w:ascii="Arial" w:hAnsi="Arial" w:cs="Arial"/>
            <w:noProof/>
            <w:webHidden/>
            <w:sz w:val="22"/>
            <w:szCs w:val="22"/>
          </w:rPr>
          <w:fldChar w:fldCharType="end"/>
        </w:r>
      </w:hyperlink>
    </w:p>
    <w:p w14:paraId="5944DDD1" w14:textId="3AE4E1D7"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5" w:history="1">
        <w:r w:rsidRPr="008053AF">
          <w:rPr>
            <w:rStyle w:val="Hipervnculo"/>
            <w:rFonts w:ascii="Arial" w:eastAsia="Arial" w:hAnsi="Arial" w:cs="Arial"/>
            <w:noProof/>
            <w:sz w:val="22"/>
            <w:szCs w:val="22"/>
            <w:lang w:val="es-ES"/>
          </w:rPr>
          <w:t>Tabla 8. Principales Motivos de Manifestaciones</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_Toc229395865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26</w:t>
        </w:r>
        <w:r w:rsidRPr="008053AF">
          <w:rPr>
            <w:rFonts w:ascii="Arial" w:hAnsi="Arial" w:cs="Arial"/>
            <w:noProof/>
            <w:webHidden/>
            <w:sz w:val="22"/>
            <w:szCs w:val="22"/>
          </w:rPr>
          <w:fldChar w:fldCharType="end"/>
        </w:r>
      </w:hyperlink>
    </w:p>
    <w:p w14:paraId="41FE89BF" w14:textId="0ECD1132"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6" w:history="1">
        <w:r w:rsidRPr="008053AF">
          <w:rPr>
            <w:rStyle w:val="Hipervnculo"/>
            <w:rFonts w:ascii="Arial" w:hAnsi="Arial" w:cs="Arial"/>
            <w:noProof/>
            <w:sz w:val="22"/>
            <w:szCs w:val="22"/>
          </w:rPr>
          <w:t>Tabla 9. Total, de PQRS año 2025 EPS Coosalud</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_Toc229395866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28</w:t>
        </w:r>
        <w:r w:rsidRPr="008053AF">
          <w:rPr>
            <w:rFonts w:ascii="Arial" w:hAnsi="Arial" w:cs="Arial"/>
            <w:noProof/>
            <w:webHidden/>
            <w:sz w:val="22"/>
            <w:szCs w:val="22"/>
          </w:rPr>
          <w:fldChar w:fldCharType="end"/>
        </w:r>
      </w:hyperlink>
    </w:p>
    <w:p w14:paraId="5CF730AA" w14:textId="779221AD"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7" w:history="1">
        <w:r w:rsidRPr="008053AF">
          <w:rPr>
            <w:rStyle w:val="Hipervnculo"/>
            <w:rFonts w:ascii="Arial" w:hAnsi="Arial" w:cs="Arial"/>
            <w:noProof/>
            <w:sz w:val="22"/>
            <w:szCs w:val="22"/>
          </w:rPr>
          <w:t>Tabla 10. Barreras de Acceso EPS COOSALUD año 2025</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_Toc229395867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31</w:t>
        </w:r>
        <w:r w:rsidRPr="008053AF">
          <w:rPr>
            <w:rFonts w:ascii="Arial" w:hAnsi="Arial" w:cs="Arial"/>
            <w:noProof/>
            <w:webHidden/>
            <w:sz w:val="22"/>
            <w:szCs w:val="22"/>
          </w:rPr>
          <w:fldChar w:fldCharType="end"/>
        </w:r>
      </w:hyperlink>
    </w:p>
    <w:p w14:paraId="1212C027" w14:textId="6A2DA65D"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8" w:history="1">
        <w:r w:rsidRPr="008053AF">
          <w:rPr>
            <w:rStyle w:val="Hipervnculo"/>
            <w:rFonts w:ascii="Arial" w:hAnsi="Arial" w:cs="Arial"/>
            <w:bCs/>
            <w:noProof/>
            <w:sz w:val="22"/>
            <w:szCs w:val="22"/>
            <w:lang w:val="es-MX"/>
          </w:rPr>
          <w:t>Tabla 11. Casos y tasas de mortalidad infantil en la EAPB Coosalud, Bogotá D.C, periodo enero – diciembre 2025 preliminar.</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_Toc229395868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36</w:t>
        </w:r>
        <w:r w:rsidRPr="008053AF">
          <w:rPr>
            <w:rFonts w:ascii="Arial" w:hAnsi="Arial" w:cs="Arial"/>
            <w:noProof/>
            <w:webHidden/>
            <w:sz w:val="22"/>
            <w:szCs w:val="22"/>
          </w:rPr>
          <w:fldChar w:fldCharType="end"/>
        </w:r>
      </w:hyperlink>
    </w:p>
    <w:p w14:paraId="74625C33" w14:textId="7F871B38"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69" w:history="1">
        <w:r w:rsidRPr="008053AF">
          <w:rPr>
            <w:rStyle w:val="Hipervnculo"/>
            <w:rFonts w:ascii="Arial" w:hAnsi="Arial" w:cs="Arial"/>
            <w:bCs/>
            <w:noProof/>
            <w:sz w:val="22"/>
            <w:szCs w:val="22"/>
            <w:lang w:val="es-MX"/>
          </w:rPr>
          <w:t>Tabla 12. Proporción de causas básicas de mortalidad infantil en la EAPB Coosalud, Bogotá D.C, periodo enero – diciembre 2025 preliminar.</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_Toc229395869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37</w:t>
        </w:r>
        <w:r w:rsidRPr="008053AF">
          <w:rPr>
            <w:rFonts w:ascii="Arial" w:hAnsi="Arial" w:cs="Arial"/>
            <w:noProof/>
            <w:webHidden/>
            <w:sz w:val="22"/>
            <w:szCs w:val="22"/>
          </w:rPr>
          <w:fldChar w:fldCharType="end"/>
        </w:r>
      </w:hyperlink>
    </w:p>
    <w:p w14:paraId="7C780E07" w14:textId="14E1A527"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0" w:history="1">
        <w:r w:rsidRPr="008053AF">
          <w:rPr>
            <w:rStyle w:val="Hipervnculo"/>
            <w:rFonts w:ascii="Arial" w:hAnsi="Arial" w:cs="Arial"/>
            <w:bCs/>
            <w:noProof/>
            <w:sz w:val="22"/>
            <w:szCs w:val="22"/>
            <w:lang w:val="es-MX"/>
          </w:rPr>
          <w:t>Tabla 13. Coberturas trazadoras del PAI en población infantil afiliada a COOSALUD EPS. Bogotá D. C., 2025</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_Toc229395870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39</w:t>
        </w:r>
        <w:r w:rsidRPr="008053AF">
          <w:rPr>
            <w:rFonts w:ascii="Arial" w:hAnsi="Arial" w:cs="Arial"/>
            <w:noProof/>
            <w:webHidden/>
            <w:sz w:val="22"/>
            <w:szCs w:val="22"/>
          </w:rPr>
          <w:fldChar w:fldCharType="end"/>
        </w:r>
      </w:hyperlink>
    </w:p>
    <w:p w14:paraId="24BF2C57" w14:textId="2426FFFD"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1" w:history="1">
        <w:r w:rsidRPr="008053AF">
          <w:rPr>
            <w:rStyle w:val="Hipervnculo"/>
            <w:rFonts w:ascii="Arial" w:hAnsi="Arial" w:cs="Arial"/>
            <w:noProof/>
            <w:sz w:val="22"/>
            <w:szCs w:val="22"/>
          </w:rPr>
          <w:t>Tabla 14: Cobertura de sarampión-rubéola por cohortes de nacimiento. COOSALUD EPS, Bogotá D. C., 2025</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_Toc229395871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42</w:t>
        </w:r>
        <w:r w:rsidRPr="008053AF">
          <w:rPr>
            <w:rFonts w:ascii="Arial" w:hAnsi="Arial" w:cs="Arial"/>
            <w:noProof/>
            <w:webHidden/>
            <w:sz w:val="22"/>
            <w:szCs w:val="22"/>
          </w:rPr>
          <w:fldChar w:fldCharType="end"/>
        </w:r>
      </w:hyperlink>
    </w:p>
    <w:p w14:paraId="5514BA94" w14:textId="23B8934D"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2" w:history="1">
        <w:r w:rsidRPr="008053AF">
          <w:rPr>
            <w:rStyle w:val="Hipervnculo"/>
            <w:rFonts w:ascii="Arial" w:hAnsi="Arial" w:cs="Arial"/>
            <w:noProof/>
            <w:sz w:val="22"/>
            <w:szCs w:val="22"/>
          </w:rPr>
          <w:t>Tabla 15: Vacunación contra influenza cepa sur. COOSALUD EPS, Bogotá D. C., 2025</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_Toc229395872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43</w:t>
        </w:r>
        <w:r w:rsidRPr="008053AF">
          <w:rPr>
            <w:rFonts w:ascii="Arial" w:hAnsi="Arial" w:cs="Arial"/>
            <w:noProof/>
            <w:webHidden/>
            <w:sz w:val="22"/>
            <w:szCs w:val="22"/>
          </w:rPr>
          <w:fldChar w:fldCharType="end"/>
        </w:r>
      </w:hyperlink>
    </w:p>
    <w:p w14:paraId="1746A9B8" w14:textId="24D8FF77"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3" w:history="1">
        <w:r w:rsidRPr="008053AF">
          <w:rPr>
            <w:rStyle w:val="Hipervnculo"/>
            <w:rFonts w:ascii="Arial" w:hAnsi="Arial" w:cs="Arial"/>
            <w:bCs/>
            <w:noProof/>
            <w:sz w:val="22"/>
            <w:szCs w:val="22"/>
            <w:lang w:val="es-MX"/>
          </w:rPr>
          <w:t>Tabla 16. Casos reportados por EAPB</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_Toc229395873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46</w:t>
        </w:r>
        <w:r w:rsidRPr="008053AF">
          <w:rPr>
            <w:rFonts w:ascii="Arial" w:hAnsi="Arial" w:cs="Arial"/>
            <w:noProof/>
            <w:webHidden/>
            <w:sz w:val="22"/>
            <w:szCs w:val="22"/>
          </w:rPr>
          <w:fldChar w:fldCharType="end"/>
        </w:r>
      </w:hyperlink>
    </w:p>
    <w:p w14:paraId="0CE9A52E" w14:textId="27F62C5A"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4" w:history="1">
        <w:r w:rsidRPr="008053AF">
          <w:rPr>
            <w:rStyle w:val="Hipervnculo"/>
            <w:rFonts w:ascii="Arial" w:hAnsi="Arial" w:cs="Arial"/>
            <w:bCs/>
            <w:noProof/>
            <w:sz w:val="22"/>
            <w:szCs w:val="22"/>
            <w:lang w:val="es-MX"/>
          </w:rPr>
          <w:t>Tabla 17. Casos por IPS identificadas dentro de la red prestadora reportada por COOSALUD EPS</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_Toc229395874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47</w:t>
        </w:r>
        <w:r w:rsidRPr="008053AF">
          <w:rPr>
            <w:rFonts w:ascii="Arial" w:hAnsi="Arial" w:cs="Arial"/>
            <w:noProof/>
            <w:webHidden/>
            <w:sz w:val="22"/>
            <w:szCs w:val="22"/>
          </w:rPr>
          <w:fldChar w:fldCharType="end"/>
        </w:r>
      </w:hyperlink>
    </w:p>
    <w:p w14:paraId="7A728510" w14:textId="7FFAFD2D"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5" w:history="1">
        <w:r w:rsidRPr="008053AF">
          <w:rPr>
            <w:rStyle w:val="Hipervnculo"/>
            <w:rFonts w:ascii="Arial" w:hAnsi="Arial" w:cs="Arial"/>
            <w:bCs/>
            <w:noProof/>
            <w:sz w:val="22"/>
            <w:szCs w:val="22"/>
            <w:lang w:val="es-MX"/>
          </w:rPr>
          <w:t>Tabla 18. Detalle de casos no identificados en el cruce con la red prestadora reportada por COOSALUD EPS.</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_Toc229395875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48</w:t>
        </w:r>
        <w:r w:rsidRPr="008053AF">
          <w:rPr>
            <w:rFonts w:ascii="Arial" w:hAnsi="Arial" w:cs="Arial"/>
            <w:noProof/>
            <w:webHidden/>
            <w:sz w:val="22"/>
            <w:szCs w:val="22"/>
          </w:rPr>
          <w:fldChar w:fldCharType="end"/>
        </w:r>
      </w:hyperlink>
    </w:p>
    <w:p w14:paraId="1667AF3A" w14:textId="408BE349"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876" w:history="1">
        <w:r w:rsidRPr="008053AF">
          <w:rPr>
            <w:rStyle w:val="Hipervnculo"/>
            <w:rFonts w:ascii="Arial" w:eastAsia="Arial" w:hAnsi="Arial" w:cs="Arial"/>
            <w:noProof/>
            <w:sz w:val="22"/>
            <w:szCs w:val="22"/>
          </w:rPr>
          <w:t>Tabla 23. Estado de Situación Financiera (Cifras en millones pesos colombianos)</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_Toc229395876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53</w:t>
        </w:r>
        <w:r w:rsidRPr="008053AF">
          <w:rPr>
            <w:rFonts w:ascii="Arial" w:hAnsi="Arial" w:cs="Arial"/>
            <w:noProof/>
            <w:webHidden/>
            <w:sz w:val="22"/>
            <w:szCs w:val="22"/>
          </w:rPr>
          <w:fldChar w:fldCharType="end"/>
        </w:r>
      </w:hyperlink>
    </w:p>
    <w:p w14:paraId="65832AF5" w14:textId="22B9F3A7" w:rsidR="005413D2" w:rsidRPr="008053AF" w:rsidRDefault="008036C2" w:rsidP="00ED7184">
      <w:pPr>
        <w:spacing w:line="360" w:lineRule="auto"/>
        <w:jc w:val="both"/>
        <w:rPr>
          <w:rFonts w:ascii="Arial" w:hAnsi="Arial" w:cs="Arial"/>
          <w:b/>
          <w:bCs/>
          <w:sz w:val="22"/>
          <w:szCs w:val="22"/>
        </w:rPr>
      </w:pPr>
      <w:r w:rsidRPr="008053AF">
        <w:rPr>
          <w:rFonts w:ascii="Arial" w:hAnsi="Arial" w:cs="Arial"/>
          <w:b/>
          <w:bCs/>
          <w:sz w:val="22"/>
          <w:szCs w:val="22"/>
        </w:rPr>
        <w:fldChar w:fldCharType="end"/>
      </w:r>
    </w:p>
    <w:p w14:paraId="087B68AB" w14:textId="5BD0D798" w:rsidR="00473177" w:rsidRDefault="006C6D3E" w:rsidP="00ED7184">
      <w:pPr>
        <w:pStyle w:val="Ttulo1"/>
        <w:spacing w:before="0" w:line="360" w:lineRule="auto"/>
        <w:jc w:val="center"/>
        <w:rPr>
          <w:rFonts w:ascii="Arial" w:eastAsia="Arial" w:hAnsi="Arial" w:cs="Arial"/>
          <w:b/>
          <w:bCs/>
          <w:color w:val="auto"/>
          <w:sz w:val="22"/>
          <w:szCs w:val="22"/>
        </w:rPr>
      </w:pPr>
      <w:bookmarkStart w:id="3" w:name="_Toc229397827"/>
      <w:r w:rsidRPr="008053AF">
        <w:rPr>
          <w:rFonts w:ascii="Arial" w:eastAsia="Arial" w:hAnsi="Arial" w:cs="Arial"/>
          <w:b/>
          <w:bCs/>
          <w:color w:val="auto"/>
          <w:sz w:val="22"/>
          <w:szCs w:val="22"/>
        </w:rPr>
        <w:t>ÍNDICE DE GRÁFICAS</w:t>
      </w:r>
      <w:bookmarkEnd w:id="3"/>
    </w:p>
    <w:p w14:paraId="1E1CECD6" w14:textId="77777777" w:rsidR="00ED7184" w:rsidRPr="00ED7184" w:rsidRDefault="00ED7184" w:rsidP="00ED7184"/>
    <w:p w14:paraId="23A6031D" w14:textId="50F5CBEC" w:rsidR="008053AF" w:rsidRPr="008053AF" w:rsidRDefault="00A73AD2"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r w:rsidRPr="008053AF">
        <w:rPr>
          <w:rFonts w:ascii="Arial" w:hAnsi="Arial" w:cs="Arial"/>
          <w:b/>
          <w:bCs/>
          <w:sz w:val="22"/>
          <w:szCs w:val="22"/>
        </w:rPr>
        <w:fldChar w:fldCharType="begin"/>
      </w:r>
      <w:r w:rsidRPr="008053AF">
        <w:rPr>
          <w:rFonts w:ascii="Arial" w:hAnsi="Arial" w:cs="Arial"/>
          <w:b/>
          <w:bCs/>
          <w:sz w:val="22"/>
          <w:szCs w:val="22"/>
        </w:rPr>
        <w:instrText xml:space="preserve"> TOC \h \z \c "Ilustración" </w:instrText>
      </w:r>
      <w:r w:rsidRPr="008053AF">
        <w:rPr>
          <w:rFonts w:ascii="Arial" w:hAnsi="Arial" w:cs="Arial"/>
          <w:b/>
          <w:bCs/>
          <w:sz w:val="22"/>
          <w:szCs w:val="22"/>
        </w:rPr>
        <w:fldChar w:fldCharType="separate"/>
      </w:r>
      <w:hyperlink w:anchor="_Toc229395919" w:history="1">
        <w:r w:rsidR="008053AF" w:rsidRPr="008053AF">
          <w:rPr>
            <w:rStyle w:val="Hipervnculo"/>
            <w:rFonts w:ascii="Arial" w:hAnsi="Arial" w:cs="Arial"/>
            <w:noProof/>
            <w:sz w:val="22"/>
            <w:szCs w:val="22"/>
          </w:rPr>
          <w:t xml:space="preserve">Ilustración 1. </w:t>
        </w:r>
        <w:r w:rsidR="008053AF" w:rsidRPr="008053AF">
          <w:rPr>
            <w:rStyle w:val="Hipervnculo"/>
            <w:rFonts w:ascii="Arial" w:eastAsia="Arial" w:hAnsi="Arial" w:cs="Arial"/>
            <w:noProof/>
            <w:sz w:val="22"/>
            <w:szCs w:val="22"/>
          </w:rPr>
          <w:t>Tendencia afiliados COOSALUD EPS por régimen 2021-2025 - Bogotá D.C.</w:t>
        </w:r>
        <w:r w:rsidR="008053AF" w:rsidRPr="008053AF">
          <w:rPr>
            <w:rFonts w:ascii="Arial" w:hAnsi="Arial" w:cs="Arial"/>
            <w:noProof/>
            <w:webHidden/>
            <w:sz w:val="22"/>
            <w:szCs w:val="22"/>
          </w:rPr>
          <w:tab/>
        </w:r>
        <w:r w:rsidR="008053AF" w:rsidRPr="008053AF">
          <w:rPr>
            <w:rFonts w:ascii="Arial" w:hAnsi="Arial" w:cs="Arial"/>
            <w:noProof/>
            <w:webHidden/>
            <w:sz w:val="22"/>
            <w:szCs w:val="22"/>
          </w:rPr>
          <w:fldChar w:fldCharType="begin"/>
        </w:r>
        <w:r w:rsidR="008053AF" w:rsidRPr="008053AF">
          <w:rPr>
            <w:rFonts w:ascii="Arial" w:hAnsi="Arial" w:cs="Arial"/>
            <w:noProof/>
            <w:webHidden/>
            <w:sz w:val="22"/>
            <w:szCs w:val="22"/>
          </w:rPr>
          <w:instrText xml:space="preserve"> PAGEREF _Toc229395919 \h </w:instrText>
        </w:r>
        <w:r w:rsidR="008053AF" w:rsidRPr="008053AF">
          <w:rPr>
            <w:rFonts w:ascii="Arial" w:hAnsi="Arial" w:cs="Arial"/>
            <w:noProof/>
            <w:webHidden/>
            <w:sz w:val="22"/>
            <w:szCs w:val="22"/>
          </w:rPr>
        </w:r>
        <w:r w:rsidR="008053AF" w:rsidRPr="008053AF">
          <w:rPr>
            <w:rFonts w:ascii="Arial" w:hAnsi="Arial" w:cs="Arial"/>
            <w:noProof/>
            <w:webHidden/>
            <w:sz w:val="22"/>
            <w:szCs w:val="22"/>
          </w:rPr>
          <w:fldChar w:fldCharType="separate"/>
        </w:r>
        <w:r w:rsidR="008053AF" w:rsidRPr="008053AF">
          <w:rPr>
            <w:rFonts w:ascii="Arial" w:hAnsi="Arial" w:cs="Arial"/>
            <w:noProof/>
            <w:webHidden/>
            <w:sz w:val="22"/>
            <w:szCs w:val="22"/>
          </w:rPr>
          <w:t>12</w:t>
        </w:r>
        <w:r w:rsidR="008053AF" w:rsidRPr="008053AF">
          <w:rPr>
            <w:rFonts w:ascii="Arial" w:hAnsi="Arial" w:cs="Arial"/>
            <w:noProof/>
            <w:webHidden/>
            <w:sz w:val="22"/>
            <w:szCs w:val="22"/>
          </w:rPr>
          <w:fldChar w:fldCharType="end"/>
        </w:r>
      </w:hyperlink>
    </w:p>
    <w:p w14:paraId="32D23705" w14:textId="61ED2769"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0" w:history="1">
        <w:r w:rsidRPr="008053AF">
          <w:rPr>
            <w:rStyle w:val="Hipervnculo"/>
            <w:rFonts w:ascii="Arial" w:hAnsi="Arial" w:cs="Arial"/>
            <w:noProof/>
            <w:sz w:val="22"/>
            <w:szCs w:val="22"/>
          </w:rPr>
          <w:t>Ilustración 2: Afiliados por edad y género COOSALUD EPS – Bogotá D.C.</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_Toc229395920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14</w:t>
        </w:r>
        <w:r w:rsidRPr="008053AF">
          <w:rPr>
            <w:rFonts w:ascii="Arial" w:hAnsi="Arial" w:cs="Arial"/>
            <w:noProof/>
            <w:webHidden/>
            <w:sz w:val="22"/>
            <w:szCs w:val="22"/>
          </w:rPr>
          <w:fldChar w:fldCharType="end"/>
        </w:r>
      </w:hyperlink>
    </w:p>
    <w:p w14:paraId="4595793B" w14:textId="5BC0C263"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1" w:history="1">
        <w:r w:rsidRPr="008053AF">
          <w:rPr>
            <w:rStyle w:val="Hipervnculo"/>
            <w:rFonts w:ascii="Arial" w:hAnsi="Arial" w:cs="Arial"/>
            <w:noProof/>
            <w:sz w:val="22"/>
            <w:szCs w:val="22"/>
          </w:rPr>
          <w:t>Ilustración 3. Tasa de reclamos en salud acumulados en 12 meses Coosalud EPS 2021-2025 – Bogotá D.C.</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_Toc229395921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20</w:t>
        </w:r>
        <w:r w:rsidRPr="008053AF">
          <w:rPr>
            <w:rFonts w:ascii="Arial" w:hAnsi="Arial" w:cs="Arial"/>
            <w:noProof/>
            <w:webHidden/>
            <w:sz w:val="22"/>
            <w:szCs w:val="22"/>
          </w:rPr>
          <w:fldChar w:fldCharType="end"/>
        </w:r>
      </w:hyperlink>
    </w:p>
    <w:p w14:paraId="1258B20A" w14:textId="78134F24"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2" w:history="1">
        <w:r w:rsidRPr="008053AF">
          <w:rPr>
            <w:rStyle w:val="Hipervnculo"/>
            <w:rFonts w:ascii="Arial" w:hAnsi="Arial" w:cs="Arial"/>
            <w:noProof/>
            <w:sz w:val="22"/>
            <w:szCs w:val="22"/>
          </w:rPr>
          <w:t>Ilustración 4. Oportunidad de respuesta en días hábiles de enero a diciembre de 2025</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_Toc229395922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30</w:t>
        </w:r>
        <w:r w:rsidRPr="008053AF">
          <w:rPr>
            <w:rFonts w:ascii="Arial" w:hAnsi="Arial" w:cs="Arial"/>
            <w:noProof/>
            <w:webHidden/>
            <w:sz w:val="22"/>
            <w:szCs w:val="22"/>
          </w:rPr>
          <w:fldChar w:fldCharType="end"/>
        </w:r>
      </w:hyperlink>
    </w:p>
    <w:p w14:paraId="6FB2E8CB" w14:textId="73366FCC"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3" w:history="1">
        <w:r w:rsidRPr="008053AF">
          <w:rPr>
            <w:rStyle w:val="Hipervnculo"/>
            <w:rFonts w:ascii="Arial" w:eastAsia="Arial" w:hAnsi="Arial" w:cs="Arial"/>
            <w:noProof/>
            <w:sz w:val="22"/>
            <w:szCs w:val="22"/>
          </w:rPr>
          <w:t>Ilustración 5. Total, de Activos – Pasivos (Cifras en millones de pesos colombianos)</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_Toc229395923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55</w:t>
        </w:r>
        <w:r w:rsidRPr="008053AF">
          <w:rPr>
            <w:rFonts w:ascii="Arial" w:hAnsi="Arial" w:cs="Arial"/>
            <w:noProof/>
            <w:webHidden/>
            <w:sz w:val="22"/>
            <w:szCs w:val="22"/>
          </w:rPr>
          <w:fldChar w:fldCharType="end"/>
        </w:r>
      </w:hyperlink>
    </w:p>
    <w:p w14:paraId="3D99B8AB" w14:textId="4821302C"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4" w:history="1">
        <w:r w:rsidRPr="008053AF">
          <w:rPr>
            <w:rStyle w:val="Hipervnculo"/>
            <w:rFonts w:ascii="Arial" w:eastAsia="Arial" w:hAnsi="Arial" w:cs="Arial"/>
            <w:noProof/>
            <w:sz w:val="22"/>
            <w:szCs w:val="22"/>
          </w:rPr>
          <w:t>Ilustración 6. Cuentas por pagar (cifras en millones pesos colombianos)</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_Toc229395924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58</w:t>
        </w:r>
        <w:r w:rsidRPr="008053AF">
          <w:rPr>
            <w:rFonts w:ascii="Arial" w:hAnsi="Arial" w:cs="Arial"/>
            <w:noProof/>
            <w:webHidden/>
            <w:sz w:val="22"/>
            <w:szCs w:val="22"/>
          </w:rPr>
          <w:fldChar w:fldCharType="end"/>
        </w:r>
      </w:hyperlink>
    </w:p>
    <w:p w14:paraId="4D4E5AF3" w14:textId="5C5E63A5"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5" w:history="1">
        <w:r w:rsidRPr="008053AF">
          <w:rPr>
            <w:rStyle w:val="Hipervnculo"/>
            <w:rFonts w:ascii="Arial" w:hAnsi="Arial" w:cs="Arial"/>
            <w:noProof/>
            <w:sz w:val="22"/>
            <w:szCs w:val="22"/>
          </w:rPr>
          <w:t>Ilustración 7: Reservas técnicas Coosalud EPS de 2021ª 2025</w:t>
        </w:r>
        <w:r w:rsidRPr="008053AF">
          <w:rPr>
            <w:rStyle w:val="Hipervnculo"/>
            <w:rFonts w:ascii="Arial" w:eastAsia="Arial" w:hAnsi="Arial" w:cs="Arial"/>
            <w:noProof/>
            <w:sz w:val="22"/>
            <w:szCs w:val="22"/>
          </w:rPr>
          <w:t>(cifras en millones pesos colombianos)</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_Toc229395925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62</w:t>
        </w:r>
        <w:r w:rsidRPr="008053AF">
          <w:rPr>
            <w:rFonts w:ascii="Arial" w:hAnsi="Arial" w:cs="Arial"/>
            <w:noProof/>
            <w:webHidden/>
            <w:sz w:val="22"/>
            <w:szCs w:val="22"/>
          </w:rPr>
          <w:fldChar w:fldCharType="end"/>
        </w:r>
      </w:hyperlink>
    </w:p>
    <w:p w14:paraId="52040C85" w14:textId="2ADF4455"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6" w:history="1">
        <w:r w:rsidRPr="008053AF">
          <w:rPr>
            <w:rStyle w:val="Hipervnculo"/>
            <w:rFonts w:ascii="Arial" w:hAnsi="Arial" w:cs="Arial"/>
            <w:noProof/>
            <w:sz w:val="22"/>
            <w:szCs w:val="22"/>
          </w:rPr>
          <w:t>Ilustración 8: Patrimonio Coosalud EPS de 2021 a 2025 (cifras en millones pesos colombianos)</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_Toc229395926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64</w:t>
        </w:r>
        <w:r w:rsidRPr="008053AF">
          <w:rPr>
            <w:rFonts w:ascii="Arial" w:hAnsi="Arial" w:cs="Arial"/>
            <w:noProof/>
            <w:webHidden/>
            <w:sz w:val="22"/>
            <w:szCs w:val="22"/>
          </w:rPr>
          <w:fldChar w:fldCharType="end"/>
        </w:r>
      </w:hyperlink>
    </w:p>
    <w:p w14:paraId="006127E8" w14:textId="62A3A463"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7" w:history="1">
        <w:r w:rsidRPr="008053AF">
          <w:rPr>
            <w:rStyle w:val="Hipervnculo"/>
            <w:rFonts w:ascii="Arial" w:eastAsia="Arial" w:hAnsi="Arial" w:cs="Arial"/>
            <w:noProof/>
            <w:sz w:val="22"/>
            <w:szCs w:val="22"/>
          </w:rPr>
          <w:t>Ilustración 9. Porcentaje de Endeudamiento</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_Toc229395927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66</w:t>
        </w:r>
        <w:r w:rsidRPr="008053AF">
          <w:rPr>
            <w:rFonts w:ascii="Arial" w:hAnsi="Arial" w:cs="Arial"/>
            <w:noProof/>
            <w:webHidden/>
            <w:sz w:val="22"/>
            <w:szCs w:val="22"/>
          </w:rPr>
          <w:fldChar w:fldCharType="end"/>
        </w:r>
      </w:hyperlink>
    </w:p>
    <w:p w14:paraId="2A449DBD" w14:textId="3C8BFDC9" w:rsidR="008053AF" w:rsidRPr="008053AF" w:rsidRDefault="008053AF" w:rsidP="00ED7184">
      <w:pPr>
        <w:pStyle w:val="Tabladeilustraciones"/>
        <w:tabs>
          <w:tab w:val="right" w:leader="dot" w:pos="8828"/>
        </w:tabs>
        <w:spacing w:line="360" w:lineRule="auto"/>
        <w:jc w:val="both"/>
        <w:rPr>
          <w:rFonts w:ascii="Arial" w:eastAsiaTheme="minorEastAsia" w:hAnsi="Arial" w:cs="Arial"/>
          <w:noProof/>
          <w:kern w:val="2"/>
          <w:sz w:val="22"/>
          <w:szCs w:val="22"/>
          <w:lang w:eastAsia="es-CO"/>
          <w14:ligatures w14:val="standardContextual"/>
        </w:rPr>
      </w:pPr>
      <w:hyperlink w:anchor="_Toc229395928" w:history="1">
        <w:r w:rsidRPr="008053AF">
          <w:rPr>
            <w:rStyle w:val="Hipervnculo"/>
            <w:rFonts w:ascii="Arial" w:eastAsia="Arial" w:hAnsi="Arial" w:cs="Arial"/>
            <w:noProof/>
            <w:sz w:val="22"/>
            <w:szCs w:val="22"/>
          </w:rPr>
          <w:t>Ilustración 10. Siniestralidad, COOSALUD EPS (ene-dic 2025)</w:t>
        </w:r>
        <w:r w:rsidRPr="008053AF">
          <w:rPr>
            <w:rFonts w:ascii="Arial" w:hAnsi="Arial" w:cs="Arial"/>
            <w:noProof/>
            <w:webHidden/>
            <w:sz w:val="22"/>
            <w:szCs w:val="22"/>
          </w:rPr>
          <w:tab/>
        </w:r>
        <w:r w:rsidRPr="008053AF">
          <w:rPr>
            <w:rFonts w:ascii="Arial" w:hAnsi="Arial" w:cs="Arial"/>
            <w:noProof/>
            <w:webHidden/>
            <w:sz w:val="22"/>
            <w:szCs w:val="22"/>
          </w:rPr>
          <w:fldChar w:fldCharType="begin"/>
        </w:r>
        <w:r w:rsidRPr="008053AF">
          <w:rPr>
            <w:rFonts w:ascii="Arial" w:hAnsi="Arial" w:cs="Arial"/>
            <w:noProof/>
            <w:webHidden/>
            <w:sz w:val="22"/>
            <w:szCs w:val="22"/>
          </w:rPr>
          <w:instrText xml:space="preserve"> PAGEREF _Toc229395928 \h </w:instrText>
        </w:r>
        <w:r w:rsidRPr="008053AF">
          <w:rPr>
            <w:rFonts w:ascii="Arial" w:hAnsi="Arial" w:cs="Arial"/>
            <w:noProof/>
            <w:webHidden/>
            <w:sz w:val="22"/>
            <w:szCs w:val="22"/>
          </w:rPr>
        </w:r>
        <w:r w:rsidRPr="008053AF">
          <w:rPr>
            <w:rFonts w:ascii="Arial" w:hAnsi="Arial" w:cs="Arial"/>
            <w:noProof/>
            <w:webHidden/>
            <w:sz w:val="22"/>
            <w:szCs w:val="22"/>
          </w:rPr>
          <w:fldChar w:fldCharType="separate"/>
        </w:r>
        <w:r w:rsidRPr="008053AF">
          <w:rPr>
            <w:rFonts w:ascii="Arial" w:hAnsi="Arial" w:cs="Arial"/>
            <w:noProof/>
            <w:webHidden/>
            <w:sz w:val="22"/>
            <w:szCs w:val="22"/>
          </w:rPr>
          <w:t>68</w:t>
        </w:r>
        <w:r w:rsidRPr="008053AF">
          <w:rPr>
            <w:rFonts w:ascii="Arial" w:hAnsi="Arial" w:cs="Arial"/>
            <w:noProof/>
            <w:webHidden/>
            <w:sz w:val="22"/>
            <w:szCs w:val="22"/>
          </w:rPr>
          <w:fldChar w:fldCharType="end"/>
        </w:r>
      </w:hyperlink>
    </w:p>
    <w:p w14:paraId="29BD6E59" w14:textId="256426D1" w:rsidR="00ED4D68" w:rsidRPr="008053AF" w:rsidRDefault="00A73AD2" w:rsidP="00ED7184">
      <w:pPr>
        <w:spacing w:line="360" w:lineRule="auto"/>
        <w:jc w:val="both"/>
        <w:rPr>
          <w:rFonts w:ascii="Arial" w:hAnsi="Arial" w:cs="Arial"/>
          <w:b/>
          <w:bCs/>
          <w:sz w:val="22"/>
          <w:szCs w:val="22"/>
        </w:rPr>
      </w:pPr>
      <w:r w:rsidRPr="008053AF">
        <w:rPr>
          <w:rFonts w:ascii="Arial" w:hAnsi="Arial" w:cs="Arial"/>
          <w:b/>
          <w:bCs/>
          <w:sz w:val="22"/>
          <w:szCs w:val="22"/>
        </w:rPr>
        <w:fldChar w:fldCharType="end"/>
      </w:r>
    </w:p>
    <w:p w14:paraId="64612C5F" w14:textId="77777777" w:rsidR="0001359C" w:rsidRDefault="0001359C" w:rsidP="00ED7184">
      <w:pPr>
        <w:spacing w:line="360" w:lineRule="auto"/>
        <w:jc w:val="both"/>
        <w:rPr>
          <w:rFonts w:ascii="Arial" w:hAnsi="Arial" w:cs="Arial"/>
          <w:b/>
          <w:bCs/>
          <w:sz w:val="22"/>
          <w:szCs w:val="22"/>
        </w:rPr>
      </w:pPr>
    </w:p>
    <w:p w14:paraId="654A5089" w14:textId="77777777" w:rsidR="001B465B" w:rsidRDefault="001B465B" w:rsidP="00ED7184">
      <w:pPr>
        <w:spacing w:line="360" w:lineRule="auto"/>
        <w:jc w:val="both"/>
        <w:rPr>
          <w:rFonts w:ascii="Arial" w:hAnsi="Arial" w:cs="Arial"/>
          <w:b/>
          <w:bCs/>
          <w:sz w:val="22"/>
          <w:szCs w:val="22"/>
        </w:rPr>
      </w:pPr>
    </w:p>
    <w:p w14:paraId="65D85B4A" w14:textId="77777777" w:rsidR="001B465B" w:rsidRPr="008053AF" w:rsidRDefault="001B465B" w:rsidP="00ED7184">
      <w:pPr>
        <w:spacing w:line="360" w:lineRule="auto"/>
        <w:jc w:val="both"/>
        <w:rPr>
          <w:rFonts w:ascii="Arial" w:hAnsi="Arial" w:cs="Arial"/>
          <w:b/>
          <w:bCs/>
          <w:sz w:val="22"/>
          <w:szCs w:val="22"/>
        </w:rPr>
      </w:pPr>
    </w:p>
    <w:p w14:paraId="5DA059F9" w14:textId="77777777" w:rsidR="0001359C" w:rsidRPr="008053AF" w:rsidRDefault="0001359C" w:rsidP="00ED7184">
      <w:pPr>
        <w:spacing w:line="360" w:lineRule="auto"/>
        <w:jc w:val="both"/>
        <w:rPr>
          <w:rFonts w:ascii="Arial" w:hAnsi="Arial" w:cs="Arial"/>
          <w:b/>
          <w:bCs/>
          <w:sz w:val="22"/>
          <w:szCs w:val="22"/>
        </w:rPr>
      </w:pPr>
    </w:p>
    <w:p w14:paraId="1F5678FD" w14:textId="77777777" w:rsidR="005D62BA" w:rsidRPr="006068A2" w:rsidRDefault="005D62BA" w:rsidP="005D62BA">
      <w:pPr>
        <w:pStyle w:val="Ttulo1"/>
        <w:numPr>
          <w:ilvl w:val="0"/>
          <w:numId w:val="9"/>
        </w:numPr>
        <w:spacing w:before="0" w:line="360" w:lineRule="auto"/>
        <w:jc w:val="both"/>
        <w:rPr>
          <w:rFonts w:ascii="Arial" w:eastAsia="Arial" w:hAnsi="Arial" w:cs="Arial"/>
          <w:b/>
          <w:bCs/>
          <w:color w:val="auto"/>
          <w:sz w:val="22"/>
          <w:szCs w:val="22"/>
        </w:rPr>
      </w:pPr>
      <w:bookmarkStart w:id="4" w:name="_Toc229397828"/>
      <w:r w:rsidRPr="006068A2">
        <w:rPr>
          <w:rFonts w:ascii="Arial" w:eastAsia="Arial" w:hAnsi="Arial" w:cs="Arial"/>
          <w:b/>
          <w:bCs/>
          <w:color w:val="auto"/>
          <w:sz w:val="22"/>
          <w:szCs w:val="22"/>
        </w:rPr>
        <w:lastRenderedPageBreak/>
        <w:t>INTRODUCCIÓN</w:t>
      </w:r>
      <w:bookmarkEnd w:id="4"/>
    </w:p>
    <w:p w14:paraId="536C3C5A" w14:textId="77777777" w:rsidR="005D62BA" w:rsidRPr="006068A2" w:rsidRDefault="005D62BA" w:rsidP="005D62BA">
      <w:pPr>
        <w:spacing w:line="360" w:lineRule="auto"/>
        <w:jc w:val="both"/>
        <w:rPr>
          <w:rFonts w:ascii="Arial" w:eastAsia="Arial" w:hAnsi="Arial" w:cs="Arial"/>
          <w:sz w:val="22"/>
          <w:szCs w:val="22"/>
        </w:rPr>
      </w:pPr>
    </w:p>
    <w:p w14:paraId="7A543C9B"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toma de decisiones estratégicas en el sector salud exige información objetiva, verificable y analizada de manera integral, particularmente en el marco del Sistema General de Seguridad Social en Salud. En este contexto, las Entidades Territoriales tienen la responsabilidad de dirigir, coordinar y ejercer funciones de inspección, vigilancia y seguimiento sobre el adecuado funcionamiento de las Entidades Promotoras de Salud (EPS), con el propósito de salvaguardar el derecho a la salud de la población afiliada y velar por la correcta gestión de los recursos del sistema.</w:t>
      </w:r>
    </w:p>
    <w:p w14:paraId="0CA60670" w14:textId="77777777" w:rsidR="005D62BA" w:rsidRPr="006068A2" w:rsidRDefault="005D62BA" w:rsidP="005D62BA">
      <w:pPr>
        <w:spacing w:line="360" w:lineRule="auto"/>
        <w:jc w:val="both"/>
        <w:rPr>
          <w:rFonts w:ascii="Arial" w:eastAsia="Arial" w:hAnsi="Arial" w:cs="Arial"/>
          <w:sz w:val="22"/>
          <w:szCs w:val="22"/>
          <w:lang w:val="es-ES"/>
        </w:rPr>
      </w:pPr>
    </w:p>
    <w:p w14:paraId="5851C18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Bajo esta perspectiva, el presente análisis técnico, sustentado en evidencia, constituye una herramienta fundamental para orientar decisiones dirigidas a garantizar la oportunidad y continuidad de la atención, fortalecer la gestión del riesgo en salud y promover el uso eficiente de los recursos disponibles. La adopción de decisiones con base en criterios objetivos fortalece la capacidad de la Entidad Territorial para priorizar acciones de inspección, vigilancia y seguimiento, identificar alertas tempranas y mitigar riesgos que puedan comprometer la prestación de servicios a la población afiliada.</w:t>
      </w:r>
    </w:p>
    <w:p w14:paraId="537AB694" w14:textId="77777777" w:rsidR="005D62BA" w:rsidRPr="006068A2" w:rsidRDefault="005D62BA" w:rsidP="005D62BA">
      <w:pPr>
        <w:spacing w:line="360" w:lineRule="auto"/>
        <w:jc w:val="both"/>
        <w:rPr>
          <w:rFonts w:ascii="Arial" w:eastAsia="Arial" w:hAnsi="Arial" w:cs="Arial"/>
          <w:sz w:val="22"/>
          <w:szCs w:val="22"/>
          <w:lang w:val="es-ES"/>
        </w:rPr>
      </w:pPr>
    </w:p>
    <w:p w14:paraId="25BB37BD"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De igual forma, la evaluación de la operación de una EPS en Bogotá, D. C., debe incorporar un enfoque territorial que reconozca que el desempeño del aseguramiento incide directamente en las condiciones de salud de la población y en la capacidad de respuesta frente a las dinámicas propias del Distrito. En una ciudad caracterizada por alta densidad poblacional, marcada heterogeneidad socioeconómica y variaciones en los perfiles de riesgo entre localidades, las fallas en el acceso, la continuidad de los tratamientos o la oportunidad en la atención no solo generan afectaciones individuales, sino que también pueden traducirse en agravamiento de enfermedades crónicas, incremento de complicaciones evitables, mayor presión sobre los servicios de urgencias y hospitalización, y profundización de las inequidades en salud. En este sentido, el seguimiento a la gestión de EPS COOSALUD trasciende el control institucional y se configura como un insumo estratégico para orientar acciones encaminadas a proteger la salud colectiva y reducir riesgos sanitarios en el territorio.</w:t>
      </w:r>
    </w:p>
    <w:p w14:paraId="1A561DB0" w14:textId="77777777" w:rsidR="005D62BA" w:rsidRPr="006068A2" w:rsidRDefault="005D62BA" w:rsidP="005D62BA">
      <w:pPr>
        <w:spacing w:line="360" w:lineRule="auto"/>
        <w:jc w:val="both"/>
        <w:rPr>
          <w:rFonts w:ascii="Arial" w:eastAsia="Arial" w:hAnsi="Arial" w:cs="Arial"/>
          <w:sz w:val="22"/>
          <w:szCs w:val="22"/>
          <w:lang w:val="es-ES"/>
        </w:rPr>
      </w:pPr>
    </w:p>
    <w:p w14:paraId="74BD9C1C"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lastRenderedPageBreak/>
        <w:t>El presente informe tiene como propósito evaluar la operación de la EPS COOSALUD en Bogotá, D. C., a partir de un análisis integral de sus principales componentes de desempeño. Para ello, se incluye la caracterización de la población afiliada y de sus necesidades en salud; la evaluación de la gestión del riesgo; y el análisis del acceso efectivo a los servicios, con énfasis en la oportunidad, la continuidad y la resolutividad de la atención. Asimismo, se incorporan las PQRSD ciudadanas como una fuente clave para identificar barreras de acceso y tendencias relacionadas con la experiencia de los usuarios. Finalmente, se examina la situación financiera de la EPS, en relación con la administración y destinación de los recursos asignados y su incidencia en la capacidad institucional para garantizar la prestación de los servicios de salud.</w:t>
      </w:r>
    </w:p>
    <w:p w14:paraId="291AE0B3" w14:textId="77777777" w:rsidR="005D62BA" w:rsidRPr="006068A2" w:rsidRDefault="005D62BA" w:rsidP="005D62BA">
      <w:pPr>
        <w:spacing w:line="360" w:lineRule="auto"/>
        <w:jc w:val="both"/>
        <w:rPr>
          <w:rFonts w:ascii="Arial" w:eastAsia="Arial" w:hAnsi="Arial" w:cs="Arial"/>
          <w:sz w:val="22"/>
          <w:szCs w:val="22"/>
          <w:lang w:val="es-ES"/>
        </w:rPr>
      </w:pPr>
    </w:p>
    <w:p w14:paraId="072AF6B1"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En consecuencia, este informe se sustenta en el análisis de la información suministrada por EPS COOSALUD, complementada con las auditorías realizadas por el equipo de Inspección, Vigilancia y Seguimiento (IVS), así como con la revisión de reportes, alertas e indicadores publicados por la Superintendencia Nacional de Salud y otras fuentes oficiales. La triangulación de estas evidencias permite consolidar hallazgos con soporte técnico, identificar brechas y riesgos relevantes, y aportar un insumo sólido para la Secretaría Distrital de Salud, orientado a la toma de decisiones, el seguimiento de la operación y la definición de acciones de mejora, con énfasis en la protección de la salud de la población residente y afiliada en Bogotá, D. C.</w:t>
      </w:r>
    </w:p>
    <w:p w14:paraId="1646989B" w14:textId="77777777" w:rsidR="005D62BA" w:rsidRPr="006068A2" w:rsidRDefault="005D62BA" w:rsidP="005D62BA">
      <w:pPr>
        <w:spacing w:line="360" w:lineRule="auto"/>
        <w:jc w:val="both"/>
        <w:rPr>
          <w:rFonts w:ascii="Arial" w:eastAsia="Arial" w:hAnsi="Arial" w:cs="Arial"/>
          <w:sz w:val="22"/>
          <w:szCs w:val="22"/>
          <w:lang w:val="es-ES"/>
        </w:rPr>
      </w:pPr>
    </w:p>
    <w:p w14:paraId="2D591D8B" w14:textId="77777777" w:rsidR="005D62BA" w:rsidRPr="006068A2" w:rsidRDefault="005D62BA" w:rsidP="005D62BA">
      <w:pPr>
        <w:pStyle w:val="Ttulo1"/>
        <w:numPr>
          <w:ilvl w:val="0"/>
          <w:numId w:val="9"/>
        </w:numPr>
        <w:spacing w:before="0" w:line="360" w:lineRule="auto"/>
        <w:jc w:val="both"/>
        <w:rPr>
          <w:rFonts w:ascii="Arial" w:eastAsia="Arial" w:hAnsi="Arial" w:cs="Arial"/>
          <w:b/>
          <w:bCs/>
          <w:color w:val="auto"/>
          <w:sz w:val="22"/>
          <w:szCs w:val="22"/>
        </w:rPr>
      </w:pPr>
      <w:bookmarkStart w:id="5" w:name="_Toc229397829"/>
      <w:r w:rsidRPr="006068A2">
        <w:rPr>
          <w:rFonts w:ascii="Arial" w:eastAsia="Arial" w:hAnsi="Arial" w:cs="Arial"/>
          <w:b/>
          <w:bCs/>
          <w:color w:val="auto"/>
          <w:sz w:val="22"/>
          <w:szCs w:val="22"/>
        </w:rPr>
        <w:t>ANTECEDENTES</w:t>
      </w:r>
      <w:bookmarkEnd w:id="5"/>
      <w:r w:rsidRPr="006068A2">
        <w:rPr>
          <w:rFonts w:ascii="Arial" w:eastAsia="Arial" w:hAnsi="Arial" w:cs="Arial"/>
          <w:b/>
          <w:bCs/>
          <w:color w:val="auto"/>
          <w:sz w:val="22"/>
          <w:szCs w:val="22"/>
        </w:rPr>
        <w:t xml:space="preserve"> </w:t>
      </w:r>
    </w:p>
    <w:p w14:paraId="4ECF2FEB" w14:textId="77777777" w:rsidR="005D62BA" w:rsidRPr="006068A2" w:rsidRDefault="005D62BA" w:rsidP="005D62BA">
      <w:pPr>
        <w:spacing w:line="360" w:lineRule="auto"/>
        <w:jc w:val="both"/>
        <w:rPr>
          <w:rFonts w:ascii="Arial" w:eastAsia="Arial" w:hAnsi="Arial" w:cs="Arial"/>
          <w:sz w:val="22"/>
          <w:szCs w:val="22"/>
        </w:rPr>
      </w:pPr>
    </w:p>
    <w:p w14:paraId="7D6E1CB7"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Secretaría Distrital de Salud, contempla dentro de su misión garantizar el derecho a la salud a través de un modelo de atención integral incluyente, lo que implica crear las condiciones de acceso de la población a los servicios de salud, como un servicio público a cargo del Estado; por lo anterior, en ejercicio de su función rectora, la Secretaría Distrital de Salud debe velar por el estricto cumplimiento de las obligaciones de las aseguradoras en salud autorizadas a operar en el Distrito Capital.</w:t>
      </w:r>
    </w:p>
    <w:p w14:paraId="04508A3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 </w:t>
      </w:r>
    </w:p>
    <w:p w14:paraId="20D37C5C"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La Ley 715 de 2001, otorga a la Secretaría Distrital de Salud la competencia para coordinar, supervisar, programar, sugerir, ejecutar y desarrollar actividades relacionadas con el Sector Salud, así como vigilar el cumplimiento de las políticas y normas técnicas, científicas y </w:t>
      </w:r>
      <w:r w:rsidRPr="006068A2">
        <w:rPr>
          <w:rFonts w:ascii="Arial" w:eastAsia="Arial" w:hAnsi="Arial" w:cs="Arial"/>
          <w:sz w:val="22"/>
          <w:szCs w:val="22"/>
          <w:lang w:val="es-ES"/>
        </w:rPr>
        <w:lastRenderedPageBreak/>
        <w:t>administrativas que expida el Ministerio de Salud y Protección Social, para garantizar el logro de las metas del sector y del Sistema General de Seguridad Social en Salud, sin perjuicio de las funciones de inspección y vigilancia atribuidas a las demás autoridades competentes.</w:t>
      </w:r>
    </w:p>
    <w:p w14:paraId="6C568C1E"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 </w:t>
      </w:r>
    </w:p>
    <w:p w14:paraId="4F4A4BA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Ley 1122 de 2007 a su vez, establece, en su artículo 14, las funciones indelegables de las Empresas Promotoras de Salud: La gestión del riesgo en salud, la gestión del riesgo financiero, la articulación de servicios para la población afiliada, la garantía de la calidad en la prestación de los servicios y la representación del usuario ante otros actores sin detrimento de su autonomía.</w:t>
      </w:r>
    </w:p>
    <w:p w14:paraId="7045A0D5" w14:textId="77777777" w:rsidR="005D62BA" w:rsidRPr="006068A2" w:rsidRDefault="005D62BA" w:rsidP="005D62BA">
      <w:pPr>
        <w:spacing w:line="360" w:lineRule="auto"/>
        <w:jc w:val="both"/>
        <w:rPr>
          <w:rFonts w:ascii="Arial" w:eastAsia="Arial" w:hAnsi="Arial" w:cs="Arial"/>
          <w:sz w:val="22"/>
          <w:szCs w:val="22"/>
          <w:lang w:val="es-ES"/>
        </w:rPr>
      </w:pPr>
    </w:p>
    <w:p w14:paraId="3A37F0AF"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La Ley 1438 de 2011 otorga funciones a las Direcciones Territoriales de Salud, tales como el aseguramiento, la inspección, vigilancia y garantía de la prestación de servicios de salud y demás relacionadas.</w:t>
      </w:r>
    </w:p>
    <w:p w14:paraId="0F19333B" w14:textId="77777777" w:rsidR="005D62BA" w:rsidRPr="006068A2" w:rsidRDefault="005D62BA" w:rsidP="005D62BA">
      <w:pPr>
        <w:spacing w:line="360" w:lineRule="auto"/>
        <w:jc w:val="both"/>
        <w:rPr>
          <w:rFonts w:ascii="Arial" w:eastAsia="Arial" w:hAnsi="Arial" w:cs="Arial"/>
          <w:sz w:val="22"/>
          <w:szCs w:val="22"/>
          <w:lang w:val="es"/>
        </w:rPr>
      </w:pPr>
      <w:r w:rsidRPr="006068A2">
        <w:rPr>
          <w:rFonts w:ascii="Arial" w:eastAsia="Arial" w:hAnsi="Arial" w:cs="Arial"/>
          <w:sz w:val="22"/>
          <w:szCs w:val="22"/>
          <w:lang w:val="es"/>
        </w:rPr>
        <w:t xml:space="preserve"> </w:t>
      </w:r>
    </w:p>
    <w:p w14:paraId="54CF271D"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Por lo anterior, se hace necesario adelantar acciones de Inspección, Vigilancia y Seguimiento</w:t>
      </w:r>
      <w:r w:rsidRPr="006068A2">
        <w:rPr>
          <w:rStyle w:val="Refdenotaalpie"/>
          <w:rFonts w:ascii="Arial" w:eastAsia="Arial" w:hAnsi="Arial" w:cs="Arial"/>
          <w:sz w:val="22"/>
          <w:szCs w:val="22"/>
          <w:lang w:val="es-ES"/>
        </w:rPr>
        <w:footnoteReference w:id="1"/>
      </w:r>
      <w:r w:rsidRPr="006068A2">
        <w:rPr>
          <w:rFonts w:ascii="Arial" w:eastAsia="Arial" w:hAnsi="Arial" w:cs="Arial"/>
          <w:sz w:val="22"/>
          <w:szCs w:val="22"/>
          <w:lang w:val="es-ES"/>
        </w:rPr>
        <w:t xml:space="preserve"> (IVS) a la operación de las diferentes Empresas Administradoras de Planes de Beneficios (EAPB), orientadas a verificar el cumplimiento de las obligaciones que estas tienen frente a sus afiliados, en el marco de la normatividad vigente. Estas acciones buscan identificar oportunamente riesgos operativos, barreras de acceso, fallas en la oportunidad y continuidad de la atención, así como posibles desviaciones en la gestión del riesgo en salud y en la administración de los recursos, con el fin de proteger el derecho fundamental a la salud y fortalecer el aseguramiento.</w:t>
      </w:r>
    </w:p>
    <w:p w14:paraId="2A1C64B8" w14:textId="77777777" w:rsidR="005D62BA" w:rsidRPr="006068A2" w:rsidRDefault="005D62BA" w:rsidP="005D62BA">
      <w:pPr>
        <w:spacing w:line="360" w:lineRule="auto"/>
        <w:jc w:val="both"/>
        <w:rPr>
          <w:rFonts w:ascii="Arial" w:eastAsia="Arial" w:hAnsi="Arial" w:cs="Arial"/>
          <w:sz w:val="22"/>
          <w:szCs w:val="22"/>
          <w:lang w:val="es-ES"/>
        </w:rPr>
      </w:pPr>
    </w:p>
    <w:p w14:paraId="1E50B0E0" w14:textId="77777777" w:rsidR="005D62BA" w:rsidRPr="006068A2" w:rsidRDefault="005D62BA" w:rsidP="005D62BA">
      <w:pPr>
        <w:pStyle w:val="Ttulo2"/>
        <w:numPr>
          <w:ilvl w:val="1"/>
          <w:numId w:val="9"/>
        </w:numPr>
        <w:spacing w:before="0" w:line="360" w:lineRule="auto"/>
        <w:jc w:val="both"/>
        <w:rPr>
          <w:rFonts w:ascii="Arial" w:eastAsia="Arial" w:hAnsi="Arial" w:cs="Arial"/>
          <w:b/>
          <w:bCs/>
          <w:color w:val="auto"/>
          <w:sz w:val="22"/>
          <w:szCs w:val="22"/>
        </w:rPr>
      </w:pPr>
      <w:bookmarkStart w:id="6" w:name="_Toc229397830"/>
      <w:r w:rsidRPr="006068A2">
        <w:rPr>
          <w:rFonts w:ascii="Arial" w:eastAsia="Arial" w:hAnsi="Arial" w:cs="Arial"/>
          <w:b/>
          <w:bCs/>
          <w:color w:val="auto"/>
          <w:sz w:val="22"/>
          <w:szCs w:val="22"/>
        </w:rPr>
        <w:t>Contexto del aseguramiento en Bogotá</w:t>
      </w:r>
      <w:bookmarkEnd w:id="6"/>
      <w:r w:rsidRPr="006068A2">
        <w:rPr>
          <w:rFonts w:ascii="Arial" w:eastAsia="Arial" w:hAnsi="Arial" w:cs="Arial"/>
          <w:b/>
          <w:bCs/>
          <w:color w:val="auto"/>
          <w:sz w:val="22"/>
          <w:szCs w:val="22"/>
        </w:rPr>
        <w:t xml:space="preserve"> </w:t>
      </w:r>
    </w:p>
    <w:p w14:paraId="189E4689" w14:textId="77777777" w:rsidR="005D62BA" w:rsidRPr="006068A2" w:rsidRDefault="005D62BA" w:rsidP="005D62BA">
      <w:pPr>
        <w:spacing w:line="360" w:lineRule="auto"/>
        <w:jc w:val="both"/>
        <w:rPr>
          <w:rFonts w:ascii="Arial" w:eastAsia="Arial" w:hAnsi="Arial" w:cs="Arial"/>
          <w:sz w:val="22"/>
          <w:szCs w:val="22"/>
          <w:lang w:val="es-ES"/>
        </w:rPr>
      </w:pPr>
    </w:p>
    <w:p w14:paraId="0B04C25A" w14:textId="429D06EE" w:rsidR="005D62BA" w:rsidRPr="006068A2" w:rsidRDefault="005D62BA" w:rsidP="00640F84">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lastRenderedPageBreak/>
        <w:t>Para el año 2025, con corte a 31 de diciembre</w:t>
      </w:r>
      <w:r w:rsidRPr="006068A2">
        <w:rPr>
          <w:rStyle w:val="Refdenotaalpie"/>
          <w:rFonts w:ascii="Arial" w:eastAsia="Arial" w:hAnsi="Arial" w:cs="Arial"/>
          <w:sz w:val="22"/>
          <w:szCs w:val="22"/>
          <w:lang w:val="es-ES"/>
        </w:rPr>
        <w:footnoteReference w:id="2"/>
      </w:r>
      <w:r w:rsidRPr="006068A2">
        <w:rPr>
          <w:rFonts w:ascii="Arial" w:eastAsia="Arial" w:hAnsi="Arial" w:cs="Arial"/>
          <w:sz w:val="22"/>
          <w:szCs w:val="22"/>
          <w:lang w:val="es-ES"/>
        </w:rPr>
        <w:t xml:space="preserve"> y de acuerdo con la BDUA, Bogotá registra un total de 8.021.580 afiliados al Sistema General de Seguridad Social en Salud, cifra que supera la proyección poblacional del DANE estimada en 7.937.898 habitantes, lo que corresponde a una cobertura del 10</w:t>
      </w:r>
      <w:r>
        <w:rPr>
          <w:rFonts w:ascii="Arial" w:eastAsia="Arial" w:hAnsi="Arial" w:cs="Arial"/>
          <w:sz w:val="22"/>
          <w:szCs w:val="22"/>
          <w:lang w:val="es-ES"/>
        </w:rPr>
        <w:t>0</w:t>
      </w:r>
      <w:r w:rsidR="00315623">
        <w:rPr>
          <w:rFonts w:ascii="Arial" w:eastAsia="Arial" w:hAnsi="Arial" w:cs="Arial"/>
          <w:sz w:val="22"/>
          <w:szCs w:val="22"/>
          <w:lang w:val="es-ES"/>
        </w:rPr>
        <w:t xml:space="preserve"> </w:t>
      </w:r>
      <w:r w:rsidRPr="006068A2">
        <w:rPr>
          <w:rFonts w:ascii="Arial" w:eastAsia="Arial" w:hAnsi="Arial" w:cs="Arial"/>
          <w:sz w:val="22"/>
          <w:szCs w:val="22"/>
          <w:lang w:val="es-ES"/>
        </w:rPr>
        <w:t>%. Este comportamiento es consistente con la dinámica del sistema, asociada a procesos de afiliaciones múltiples, fenómenos migratorios y ejercicios de depuración administrativa.</w:t>
      </w:r>
    </w:p>
    <w:p w14:paraId="50A09C3C" w14:textId="77777777" w:rsidR="005D62BA" w:rsidRPr="006068A2" w:rsidRDefault="005D62BA" w:rsidP="005D62BA">
      <w:pPr>
        <w:spacing w:line="360" w:lineRule="auto"/>
        <w:ind w:firstLine="709"/>
        <w:jc w:val="both"/>
        <w:rPr>
          <w:rFonts w:ascii="Arial" w:eastAsia="Arial" w:hAnsi="Arial" w:cs="Arial"/>
          <w:sz w:val="22"/>
          <w:szCs w:val="22"/>
          <w:lang w:val="es-ES"/>
        </w:rPr>
      </w:pPr>
    </w:p>
    <w:p w14:paraId="5B14A8BE" w14:textId="27370AD1" w:rsidR="005D62BA" w:rsidRPr="008F4BE8" w:rsidRDefault="005D62BA" w:rsidP="005D62BA">
      <w:pPr>
        <w:spacing w:line="360" w:lineRule="auto"/>
        <w:jc w:val="both"/>
        <w:rPr>
          <w:rFonts w:ascii="Arial" w:eastAsia="Arial" w:hAnsi="Arial" w:cs="Arial"/>
          <w:sz w:val="22"/>
          <w:szCs w:val="22"/>
        </w:rPr>
      </w:pPr>
      <w:r w:rsidRPr="006068A2">
        <w:rPr>
          <w:rFonts w:ascii="Arial" w:eastAsia="Arial" w:hAnsi="Arial" w:cs="Arial"/>
          <w:sz w:val="22"/>
          <w:szCs w:val="22"/>
        </w:rPr>
        <w:t>El aseguramiento en la ciudad se concentra principalmente en el régimen contributivo, que agrupa 6.026.881 afiliados (75,9%), seguido del régimen subsidiado con 1.744.899 personas (22,0%). Por su parte, los regímenes de excepción representan una proporción menor, con un estimado de 249.800 afiliados (3,1%). Esta distribución refleja el perfil socioeconómico de Bogotá, caracterizado por una alta participación en el mercado laboral formal.</w:t>
      </w:r>
      <w:r w:rsidR="008F4BE8">
        <w:rPr>
          <w:rFonts w:ascii="Arial" w:eastAsia="Arial" w:hAnsi="Arial" w:cs="Arial"/>
          <w:sz w:val="22"/>
          <w:szCs w:val="22"/>
        </w:rPr>
        <w:t xml:space="preserve"> </w:t>
      </w:r>
      <w:r w:rsidRPr="006068A2">
        <w:rPr>
          <w:rFonts w:ascii="Arial" w:eastAsia="Arial" w:hAnsi="Arial" w:cs="Arial"/>
          <w:sz w:val="22"/>
          <w:szCs w:val="22"/>
          <w:lang w:val="es-ES"/>
        </w:rPr>
        <w:t>En la tabla 1, se relaciona el estado del aseguramiento en salud de la población de Bogotá para el 2025.</w:t>
      </w:r>
    </w:p>
    <w:p w14:paraId="429A7623" w14:textId="77777777" w:rsidR="005D62BA" w:rsidRPr="006068A2" w:rsidRDefault="005D62BA" w:rsidP="005D62BA">
      <w:pPr>
        <w:spacing w:line="360" w:lineRule="auto"/>
        <w:jc w:val="both"/>
        <w:rPr>
          <w:rFonts w:ascii="Arial" w:eastAsia="Arial" w:hAnsi="Arial" w:cs="Arial"/>
          <w:sz w:val="22"/>
          <w:szCs w:val="22"/>
          <w:lang w:val="es-ES"/>
        </w:rPr>
      </w:pPr>
    </w:p>
    <w:p w14:paraId="3AB2F2E2" w14:textId="3FF8FD0E" w:rsidR="005D62BA" w:rsidRPr="006068A2" w:rsidRDefault="005D62BA" w:rsidP="00C733C0">
      <w:pPr>
        <w:pStyle w:val="Descripcin"/>
        <w:keepNext/>
        <w:spacing w:after="0" w:line="360" w:lineRule="auto"/>
        <w:jc w:val="both"/>
        <w:rPr>
          <w:rFonts w:ascii="Arial" w:eastAsia="Arial" w:hAnsi="Arial" w:cs="Arial"/>
          <w:i w:val="0"/>
          <w:iCs w:val="0"/>
          <w:color w:val="000000" w:themeColor="text1"/>
          <w:sz w:val="22"/>
          <w:szCs w:val="22"/>
          <w:lang w:val="es"/>
        </w:rPr>
      </w:pPr>
      <w:bookmarkStart w:id="7" w:name="_Toc229395858"/>
      <w:r w:rsidRPr="006068A2">
        <w:rPr>
          <w:rFonts w:ascii="Arial" w:hAnsi="Arial" w:cs="Arial"/>
          <w:i w:val="0"/>
          <w:iCs w:val="0"/>
          <w:color w:val="000000" w:themeColor="text1"/>
          <w:sz w:val="22"/>
          <w:szCs w:val="22"/>
        </w:rPr>
        <w:t xml:space="preserve">Tabla </w:t>
      </w:r>
      <w:r w:rsidRPr="006068A2">
        <w:rPr>
          <w:rFonts w:ascii="Arial" w:hAnsi="Arial" w:cs="Arial"/>
          <w:i w:val="0"/>
          <w:iCs w:val="0"/>
          <w:color w:val="000000" w:themeColor="text1"/>
          <w:sz w:val="22"/>
          <w:szCs w:val="22"/>
        </w:rPr>
        <w:fldChar w:fldCharType="begin"/>
      </w:r>
      <w:r w:rsidRPr="006068A2">
        <w:rPr>
          <w:rFonts w:ascii="Arial" w:hAnsi="Arial" w:cs="Arial"/>
          <w:i w:val="0"/>
          <w:iCs w:val="0"/>
          <w:color w:val="000000" w:themeColor="text1"/>
          <w:sz w:val="22"/>
          <w:szCs w:val="22"/>
        </w:rPr>
        <w:instrText xml:space="preserve"> SEQ Tabla \* ARABIC </w:instrText>
      </w:r>
      <w:r w:rsidRPr="006068A2">
        <w:rPr>
          <w:rFonts w:ascii="Arial" w:hAnsi="Arial" w:cs="Arial"/>
          <w:i w:val="0"/>
          <w:iCs w:val="0"/>
          <w:color w:val="000000" w:themeColor="text1"/>
          <w:sz w:val="22"/>
          <w:szCs w:val="22"/>
        </w:rPr>
        <w:fldChar w:fldCharType="separate"/>
      </w:r>
      <w:r w:rsidR="00CB6C8D">
        <w:rPr>
          <w:rFonts w:ascii="Arial" w:hAnsi="Arial" w:cs="Arial"/>
          <w:i w:val="0"/>
          <w:iCs w:val="0"/>
          <w:noProof/>
          <w:color w:val="000000" w:themeColor="text1"/>
          <w:sz w:val="22"/>
          <w:szCs w:val="22"/>
        </w:rPr>
        <w:t>1</w:t>
      </w:r>
      <w:r w:rsidRPr="006068A2">
        <w:rPr>
          <w:rFonts w:ascii="Arial" w:hAnsi="Arial" w:cs="Arial"/>
          <w:i w:val="0"/>
          <w:iCs w:val="0"/>
          <w:color w:val="000000" w:themeColor="text1"/>
          <w:sz w:val="22"/>
          <w:szCs w:val="22"/>
        </w:rPr>
        <w:fldChar w:fldCharType="end"/>
      </w:r>
      <w:r w:rsidRPr="006068A2">
        <w:rPr>
          <w:rFonts w:ascii="Arial" w:hAnsi="Arial" w:cs="Arial"/>
          <w:i w:val="0"/>
          <w:iCs w:val="0"/>
          <w:color w:val="000000" w:themeColor="text1"/>
          <w:sz w:val="22"/>
          <w:szCs w:val="22"/>
        </w:rPr>
        <w:t xml:space="preserve">. </w:t>
      </w:r>
      <w:r w:rsidRPr="006068A2">
        <w:rPr>
          <w:rFonts w:ascii="Arial" w:eastAsia="Arial" w:hAnsi="Arial" w:cs="Arial"/>
          <w:i w:val="0"/>
          <w:iCs w:val="0"/>
          <w:color w:val="000000" w:themeColor="text1"/>
          <w:sz w:val="22"/>
          <w:szCs w:val="22"/>
          <w:lang w:val="es"/>
        </w:rPr>
        <w:t>Estado del aseguramiento población de Bogotá, 2025</w:t>
      </w:r>
      <w:bookmarkEnd w:id="7"/>
    </w:p>
    <w:p w14:paraId="7E1C9D97" w14:textId="77777777" w:rsidR="005D62BA" w:rsidRPr="006068A2" w:rsidRDefault="005D62BA" w:rsidP="005D62BA">
      <w:pPr>
        <w:spacing w:line="360" w:lineRule="auto"/>
        <w:rPr>
          <w:rFonts w:ascii="Arial" w:eastAsia="Arial" w:hAnsi="Arial" w:cs="Arial"/>
          <w:sz w:val="22"/>
          <w:szCs w:val="22"/>
          <w:lang w:val="es"/>
        </w:rPr>
      </w:pPr>
    </w:p>
    <w:tbl>
      <w:tblPr>
        <w:tblStyle w:val="Tablaconcuadrcula"/>
        <w:tblW w:w="8864" w:type="dxa"/>
        <w:tblLook w:val="04A0" w:firstRow="1" w:lastRow="0" w:firstColumn="1" w:lastColumn="0" w:noHBand="0" w:noVBand="1"/>
      </w:tblPr>
      <w:tblGrid>
        <w:gridCol w:w="4050"/>
        <w:gridCol w:w="1774"/>
        <w:gridCol w:w="3040"/>
      </w:tblGrid>
      <w:tr w:rsidR="005D62BA" w:rsidRPr="006068A2" w14:paraId="690BB00C" w14:textId="77777777" w:rsidTr="00D7014B">
        <w:trPr>
          <w:trHeight w:val="621"/>
          <w:tblHeader/>
        </w:trPr>
        <w:tc>
          <w:tcPr>
            <w:tcW w:w="4050" w:type="dxa"/>
            <w:noWrap/>
            <w:vAlign w:val="center"/>
            <w:hideMark/>
          </w:tcPr>
          <w:p w14:paraId="2AD6B3BA" w14:textId="77777777" w:rsidR="005D62BA" w:rsidRPr="006068A2" w:rsidRDefault="005D62BA" w:rsidP="00D7014B">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Afiliados por Régimen</w:t>
            </w:r>
          </w:p>
        </w:tc>
        <w:tc>
          <w:tcPr>
            <w:tcW w:w="1774" w:type="dxa"/>
            <w:noWrap/>
            <w:vAlign w:val="center"/>
            <w:hideMark/>
          </w:tcPr>
          <w:p w14:paraId="09B9A271" w14:textId="77777777" w:rsidR="005D62BA" w:rsidRPr="006068A2" w:rsidRDefault="005D62BA" w:rsidP="00D7014B">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Cantidad</w:t>
            </w:r>
          </w:p>
        </w:tc>
        <w:tc>
          <w:tcPr>
            <w:tcW w:w="3040" w:type="dxa"/>
            <w:vAlign w:val="center"/>
            <w:hideMark/>
          </w:tcPr>
          <w:p w14:paraId="3199818C" w14:textId="3FC160FD" w:rsidR="005D62BA" w:rsidRPr="006068A2" w:rsidRDefault="005D62BA" w:rsidP="00D7014B">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 xml:space="preserve">% de Población </w:t>
            </w:r>
            <w:r>
              <w:rPr>
                <w:rFonts w:ascii="Arial" w:hAnsi="Arial" w:cs="Arial"/>
                <w:b/>
                <w:bCs/>
                <w:kern w:val="0"/>
                <w:sz w:val="22"/>
                <w:szCs w:val="22"/>
                <w:lang w:eastAsia="es-CO"/>
                <w14:ligatures w14:val="none"/>
              </w:rPr>
              <w:t>del Total de afiliados</w:t>
            </w:r>
          </w:p>
        </w:tc>
      </w:tr>
      <w:tr w:rsidR="005D62BA" w:rsidRPr="006068A2" w14:paraId="5D6CF037" w14:textId="77777777" w:rsidTr="00D7014B">
        <w:trPr>
          <w:trHeight w:val="223"/>
        </w:trPr>
        <w:tc>
          <w:tcPr>
            <w:tcW w:w="4050" w:type="dxa"/>
            <w:noWrap/>
            <w:hideMark/>
          </w:tcPr>
          <w:p w14:paraId="006DB48C" w14:textId="77777777" w:rsidR="005D62BA" w:rsidRPr="006068A2" w:rsidRDefault="005D62BA" w:rsidP="00D7014B">
            <w:pPr>
              <w:spacing w:line="360" w:lineRule="auto"/>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Régimen Contributivo</w:t>
            </w:r>
          </w:p>
        </w:tc>
        <w:tc>
          <w:tcPr>
            <w:tcW w:w="1774" w:type="dxa"/>
            <w:noWrap/>
          </w:tcPr>
          <w:p w14:paraId="0BB41FD3"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6.026.881</w:t>
            </w:r>
          </w:p>
        </w:tc>
        <w:tc>
          <w:tcPr>
            <w:tcW w:w="3040" w:type="dxa"/>
            <w:noWrap/>
          </w:tcPr>
          <w:p w14:paraId="1835A7A4"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75,9%</w:t>
            </w:r>
          </w:p>
        </w:tc>
      </w:tr>
      <w:tr w:rsidR="005D62BA" w:rsidRPr="006068A2" w14:paraId="7AE1BCB7" w14:textId="77777777" w:rsidTr="00D7014B">
        <w:trPr>
          <w:trHeight w:val="138"/>
        </w:trPr>
        <w:tc>
          <w:tcPr>
            <w:tcW w:w="4050" w:type="dxa"/>
            <w:noWrap/>
            <w:hideMark/>
          </w:tcPr>
          <w:p w14:paraId="374867ED" w14:textId="77777777" w:rsidR="005D62BA" w:rsidRPr="006068A2" w:rsidRDefault="005D62BA" w:rsidP="00D7014B">
            <w:pPr>
              <w:spacing w:line="360" w:lineRule="auto"/>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Régimen Subsidiado</w:t>
            </w:r>
          </w:p>
        </w:tc>
        <w:tc>
          <w:tcPr>
            <w:tcW w:w="1774" w:type="dxa"/>
            <w:noWrap/>
          </w:tcPr>
          <w:p w14:paraId="6FC7CD81"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1.744.899</w:t>
            </w:r>
          </w:p>
        </w:tc>
        <w:tc>
          <w:tcPr>
            <w:tcW w:w="3040" w:type="dxa"/>
            <w:noWrap/>
          </w:tcPr>
          <w:p w14:paraId="5F23C8F8"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22,0%</w:t>
            </w:r>
          </w:p>
        </w:tc>
      </w:tr>
      <w:tr w:rsidR="005D62BA" w:rsidRPr="006068A2" w14:paraId="45681C41" w14:textId="77777777" w:rsidTr="00D7014B">
        <w:trPr>
          <w:trHeight w:val="83"/>
        </w:trPr>
        <w:tc>
          <w:tcPr>
            <w:tcW w:w="4050" w:type="dxa"/>
            <w:noWrap/>
            <w:hideMark/>
          </w:tcPr>
          <w:p w14:paraId="4111A487" w14:textId="77777777" w:rsidR="005D62BA" w:rsidRPr="006068A2" w:rsidRDefault="005D62BA" w:rsidP="00D7014B">
            <w:pPr>
              <w:spacing w:line="360" w:lineRule="auto"/>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Regímenes de Excepción (estimado)</w:t>
            </w:r>
          </w:p>
        </w:tc>
        <w:tc>
          <w:tcPr>
            <w:tcW w:w="1774" w:type="dxa"/>
            <w:noWrap/>
          </w:tcPr>
          <w:p w14:paraId="5CE1A62F"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249.800</w:t>
            </w:r>
          </w:p>
        </w:tc>
        <w:tc>
          <w:tcPr>
            <w:tcW w:w="3040" w:type="dxa"/>
            <w:noWrap/>
          </w:tcPr>
          <w:p w14:paraId="57B13C6E" w14:textId="77777777" w:rsidR="005D62BA" w:rsidRPr="006068A2" w:rsidRDefault="005D62BA" w:rsidP="00D7014B">
            <w:pPr>
              <w:spacing w:line="360" w:lineRule="auto"/>
              <w:jc w:val="right"/>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3,1%</w:t>
            </w:r>
          </w:p>
        </w:tc>
      </w:tr>
      <w:tr w:rsidR="005D62BA" w:rsidRPr="006068A2" w14:paraId="1D9320C2" w14:textId="77777777" w:rsidTr="00D7014B">
        <w:trPr>
          <w:trHeight w:val="72"/>
        </w:trPr>
        <w:tc>
          <w:tcPr>
            <w:tcW w:w="4050" w:type="dxa"/>
            <w:noWrap/>
            <w:hideMark/>
          </w:tcPr>
          <w:p w14:paraId="4610D0B7" w14:textId="77777777" w:rsidR="005D62BA" w:rsidRPr="006068A2" w:rsidRDefault="005D62BA" w:rsidP="00D7014B">
            <w:pPr>
              <w:spacing w:line="360" w:lineRule="auto"/>
              <w:rPr>
                <w:rFonts w:ascii="Arial" w:hAnsi="Arial" w:cs="Arial"/>
                <w:b/>
                <w:bCs/>
                <w:kern w:val="0"/>
                <w:sz w:val="22"/>
                <w:szCs w:val="22"/>
                <w:lang w:val="es-ES" w:eastAsia="es-CO"/>
                <w14:ligatures w14:val="none"/>
              </w:rPr>
            </w:pPr>
            <w:r w:rsidRPr="006068A2">
              <w:rPr>
                <w:rFonts w:ascii="Arial" w:hAnsi="Arial" w:cs="Arial"/>
                <w:b/>
                <w:bCs/>
                <w:kern w:val="0"/>
                <w:sz w:val="22"/>
                <w:szCs w:val="22"/>
                <w:lang w:val="es-ES" w:eastAsia="es-CO"/>
                <w14:ligatures w14:val="none"/>
              </w:rPr>
              <w:t>Total, de afiliados</w:t>
            </w:r>
          </w:p>
        </w:tc>
        <w:tc>
          <w:tcPr>
            <w:tcW w:w="1774" w:type="dxa"/>
            <w:noWrap/>
          </w:tcPr>
          <w:p w14:paraId="0E23D3ED" w14:textId="77777777" w:rsidR="005D62BA" w:rsidRPr="006068A2" w:rsidRDefault="005D62BA" w:rsidP="00D7014B">
            <w:pPr>
              <w:spacing w:line="360" w:lineRule="auto"/>
              <w:jc w:val="right"/>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8.021.580</w:t>
            </w:r>
          </w:p>
        </w:tc>
        <w:tc>
          <w:tcPr>
            <w:tcW w:w="3040" w:type="dxa"/>
            <w:noWrap/>
          </w:tcPr>
          <w:p w14:paraId="0F85DD9A" w14:textId="77777777" w:rsidR="005D62BA" w:rsidRPr="006068A2" w:rsidRDefault="005D62BA" w:rsidP="00D7014B">
            <w:pPr>
              <w:spacing w:line="360" w:lineRule="auto"/>
              <w:jc w:val="right"/>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100%</w:t>
            </w:r>
          </w:p>
        </w:tc>
      </w:tr>
    </w:tbl>
    <w:p w14:paraId="305C74B7" w14:textId="77777777" w:rsidR="005D62BA" w:rsidRPr="00BD389C" w:rsidRDefault="005D62BA" w:rsidP="005D62BA">
      <w:pPr>
        <w:spacing w:line="360" w:lineRule="auto"/>
        <w:jc w:val="both"/>
        <w:rPr>
          <w:rFonts w:ascii="Arial" w:hAnsi="Arial" w:cs="Arial"/>
          <w:sz w:val="16"/>
          <w:szCs w:val="16"/>
          <w:lang w:val="es-ES"/>
        </w:rPr>
      </w:pPr>
      <w:r w:rsidRPr="00BD389C">
        <w:rPr>
          <w:rFonts w:ascii="Arial" w:eastAsia="Arial" w:hAnsi="Arial" w:cs="Arial"/>
          <w:sz w:val="16"/>
          <w:szCs w:val="16"/>
          <w:lang w:val="es"/>
        </w:rPr>
        <w:t xml:space="preserve">Fuente: </w:t>
      </w:r>
      <w:r w:rsidRPr="00BD389C">
        <w:rPr>
          <w:rFonts w:ascii="Arial" w:eastAsia="Arial" w:hAnsi="Arial" w:cs="Arial"/>
          <w:sz w:val="16"/>
          <w:szCs w:val="16"/>
          <w:lang w:val="es-ES"/>
        </w:rPr>
        <w:t xml:space="preserve"> </w:t>
      </w:r>
      <w:r w:rsidRPr="00BD389C">
        <w:rPr>
          <w:rFonts w:ascii="Arial" w:hAnsi="Arial" w:cs="Arial"/>
          <w:sz w:val="16"/>
          <w:szCs w:val="16"/>
          <w:lang w:val="es-ES"/>
        </w:rPr>
        <w:t>* Contributivo BDUA - ADRES, corte a 31 de diciembre de 2025.  * Subsidiado BDUA - ADRES, corte a 31 de diciembre de 2025. * Proyección censo DANE, actualización post Covid-19. * Reporte EAPB exceptuadas, diciembre 2025</w:t>
      </w:r>
    </w:p>
    <w:p w14:paraId="65F659D5" w14:textId="77777777" w:rsidR="005D62BA" w:rsidRPr="006068A2" w:rsidRDefault="005D62BA" w:rsidP="005D62BA">
      <w:pPr>
        <w:spacing w:line="360" w:lineRule="auto"/>
        <w:jc w:val="both"/>
        <w:rPr>
          <w:rFonts w:ascii="Arial" w:eastAsia="Arial" w:hAnsi="Arial" w:cs="Arial"/>
          <w:sz w:val="22"/>
          <w:szCs w:val="22"/>
          <w:lang w:val="es-ES"/>
        </w:rPr>
      </w:pPr>
    </w:p>
    <w:p w14:paraId="36E139EA"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Los afiliados de Coosalud EPS en Bogotá, lo que representa el 0,40% del total, ubicándose como la novena EPS en la ciudad, después de Sanitas, Compensar, Famisanar, Salud Total, Capital Salud, Nueva EPS, Sura y Aliansalud. </w:t>
      </w:r>
    </w:p>
    <w:p w14:paraId="7977914F" w14:textId="77777777" w:rsidR="005D62BA" w:rsidRPr="006068A2" w:rsidRDefault="005D62BA" w:rsidP="005D62BA">
      <w:pPr>
        <w:spacing w:line="360" w:lineRule="auto"/>
        <w:jc w:val="both"/>
        <w:rPr>
          <w:rFonts w:ascii="Arial" w:eastAsia="Arial" w:hAnsi="Arial" w:cs="Arial"/>
          <w:sz w:val="22"/>
          <w:szCs w:val="22"/>
          <w:lang w:val="es-ES"/>
        </w:rPr>
      </w:pPr>
    </w:p>
    <w:p w14:paraId="7B0E7297" w14:textId="77777777" w:rsidR="005D62BA" w:rsidRPr="006068A2" w:rsidRDefault="005D62BA" w:rsidP="005D62BA">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En la tabla 2, se puede ver la relación del número de afiliados en Bogotá discriminado por EPS en 2025.</w:t>
      </w:r>
    </w:p>
    <w:p w14:paraId="744F0476" w14:textId="77777777" w:rsidR="005D62BA" w:rsidRDefault="005D62BA" w:rsidP="005D62BA">
      <w:pPr>
        <w:pStyle w:val="Descripcin"/>
        <w:spacing w:after="0" w:line="360" w:lineRule="auto"/>
        <w:jc w:val="center"/>
        <w:rPr>
          <w:rFonts w:ascii="Arial" w:hAnsi="Arial" w:cs="Arial"/>
          <w:i w:val="0"/>
          <w:iCs w:val="0"/>
          <w:color w:val="000000" w:themeColor="text1"/>
          <w:sz w:val="22"/>
          <w:szCs w:val="22"/>
        </w:rPr>
      </w:pPr>
    </w:p>
    <w:p w14:paraId="166B1B94" w14:textId="240752F5" w:rsidR="005D62BA" w:rsidRPr="006068A2" w:rsidRDefault="005D62BA" w:rsidP="00C733C0">
      <w:pPr>
        <w:pStyle w:val="Descripcin"/>
        <w:spacing w:after="0" w:line="360" w:lineRule="auto"/>
        <w:jc w:val="both"/>
        <w:rPr>
          <w:rFonts w:ascii="Arial" w:eastAsia="Arial" w:hAnsi="Arial" w:cs="Arial"/>
          <w:i w:val="0"/>
          <w:iCs w:val="0"/>
          <w:color w:val="000000" w:themeColor="text1"/>
          <w:sz w:val="22"/>
          <w:szCs w:val="22"/>
          <w:lang w:val="es"/>
        </w:rPr>
      </w:pPr>
      <w:bookmarkStart w:id="8" w:name="_Toc229395859"/>
      <w:r w:rsidRPr="006068A2">
        <w:rPr>
          <w:rFonts w:ascii="Arial" w:hAnsi="Arial" w:cs="Arial"/>
          <w:i w:val="0"/>
          <w:iCs w:val="0"/>
          <w:color w:val="000000" w:themeColor="text1"/>
          <w:sz w:val="22"/>
          <w:szCs w:val="22"/>
        </w:rPr>
        <w:t xml:space="preserve">Tabla </w:t>
      </w:r>
      <w:r w:rsidRPr="006068A2">
        <w:rPr>
          <w:rFonts w:ascii="Arial" w:hAnsi="Arial" w:cs="Arial"/>
          <w:i w:val="0"/>
          <w:iCs w:val="0"/>
          <w:color w:val="000000" w:themeColor="text1"/>
          <w:sz w:val="22"/>
          <w:szCs w:val="22"/>
        </w:rPr>
        <w:fldChar w:fldCharType="begin"/>
      </w:r>
      <w:r w:rsidRPr="006068A2">
        <w:rPr>
          <w:rFonts w:ascii="Arial" w:hAnsi="Arial" w:cs="Arial"/>
          <w:i w:val="0"/>
          <w:iCs w:val="0"/>
          <w:color w:val="000000" w:themeColor="text1"/>
          <w:sz w:val="22"/>
          <w:szCs w:val="22"/>
        </w:rPr>
        <w:instrText xml:space="preserve"> SEQ Tabla \* ARABIC </w:instrText>
      </w:r>
      <w:r w:rsidRPr="006068A2">
        <w:rPr>
          <w:rFonts w:ascii="Arial" w:hAnsi="Arial" w:cs="Arial"/>
          <w:i w:val="0"/>
          <w:iCs w:val="0"/>
          <w:color w:val="000000" w:themeColor="text1"/>
          <w:sz w:val="22"/>
          <w:szCs w:val="22"/>
        </w:rPr>
        <w:fldChar w:fldCharType="separate"/>
      </w:r>
      <w:r w:rsidR="00CB6C8D">
        <w:rPr>
          <w:rFonts w:ascii="Arial" w:hAnsi="Arial" w:cs="Arial"/>
          <w:i w:val="0"/>
          <w:iCs w:val="0"/>
          <w:noProof/>
          <w:color w:val="000000" w:themeColor="text1"/>
          <w:sz w:val="22"/>
          <w:szCs w:val="22"/>
        </w:rPr>
        <w:t>2</w:t>
      </w:r>
      <w:r w:rsidRPr="006068A2">
        <w:rPr>
          <w:rFonts w:ascii="Arial" w:hAnsi="Arial" w:cs="Arial"/>
          <w:i w:val="0"/>
          <w:iCs w:val="0"/>
          <w:color w:val="000000" w:themeColor="text1"/>
          <w:sz w:val="22"/>
          <w:szCs w:val="22"/>
        </w:rPr>
        <w:fldChar w:fldCharType="end"/>
      </w:r>
      <w:r w:rsidRPr="006068A2">
        <w:rPr>
          <w:rFonts w:ascii="Arial" w:hAnsi="Arial" w:cs="Arial"/>
          <w:i w:val="0"/>
          <w:iCs w:val="0"/>
          <w:color w:val="000000" w:themeColor="text1"/>
          <w:sz w:val="22"/>
          <w:szCs w:val="22"/>
        </w:rPr>
        <w:t xml:space="preserve">. </w:t>
      </w:r>
      <w:r w:rsidRPr="006068A2">
        <w:rPr>
          <w:rFonts w:ascii="Arial" w:eastAsia="Arial" w:hAnsi="Arial" w:cs="Arial"/>
          <w:i w:val="0"/>
          <w:iCs w:val="0"/>
          <w:color w:val="000000" w:themeColor="text1"/>
          <w:sz w:val="22"/>
          <w:szCs w:val="22"/>
          <w:lang w:val="es"/>
        </w:rPr>
        <w:t>Afiliados en Bogotá por EPS, 2025</w:t>
      </w:r>
      <w:bookmarkEnd w:id="8"/>
    </w:p>
    <w:tbl>
      <w:tblPr>
        <w:tblW w:w="0" w:type="auto"/>
        <w:tblLook w:val="04A0" w:firstRow="1" w:lastRow="0" w:firstColumn="1" w:lastColumn="0" w:noHBand="0" w:noVBand="1"/>
      </w:tblPr>
      <w:tblGrid>
        <w:gridCol w:w="3384"/>
        <w:gridCol w:w="1448"/>
        <w:gridCol w:w="1326"/>
        <w:gridCol w:w="1475"/>
        <w:gridCol w:w="1185"/>
      </w:tblGrid>
      <w:tr w:rsidR="005D62BA" w:rsidRPr="006068A2" w14:paraId="1BB3B25B"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60DC838"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9C6E2CF"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Contributivo</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DF81090"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Subsidiado</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0A05DC6" w14:textId="77777777" w:rsidR="005D62BA" w:rsidRPr="006068A2" w:rsidRDefault="005D62BA" w:rsidP="00D7014B">
            <w:pPr>
              <w:spacing w:line="360" w:lineRule="auto"/>
              <w:jc w:val="center"/>
              <w:rPr>
                <w:rFonts w:ascii="Arial" w:eastAsia="Arial" w:hAnsi="Arial" w:cs="Arial"/>
                <w:b/>
                <w:bCs/>
                <w:color w:val="000000" w:themeColor="text1"/>
                <w:sz w:val="22"/>
                <w:szCs w:val="22"/>
                <w:lang w:val="es-ES"/>
              </w:rPr>
            </w:pPr>
            <w:r w:rsidRPr="006068A2">
              <w:rPr>
                <w:rFonts w:ascii="Arial" w:eastAsia="Arial" w:hAnsi="Arial" w:cs="Arial"/>
                <w:b/>
                <w:bCs/>
                <w:color w:val="000000" w:themeColor="text1"/>
                <w:sz w:val="22"/>
                <w:szCs w:val="22"/>
                <w:lang w:val="es-ES"/>
              </w:rPr>
              <w:t>Total, Afiliados</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33A3943"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 del Total</w:t>
            </w:r>
          </w:p>
        </w:tc>
      </w:tr>
      <w:tr w:rsidR="005D62BA" w:rsidRPr="006068A2" w14:paraId="5D5AD48A"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7CE2001"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Sanitas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AEA321"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1.617.069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BB4D784"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137.507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3BCDB7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1.754.576</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F3B348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22,6%</w:t>
            </w:r>
          </w:p>
        </w:tc>
      </w:tr>
      <w:tr w:rsidR="005D62BA" w:rsidRPr="006068A2" w14:paraId="2FA90875"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098A680"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Compensar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B383358"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1.323.069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616B5A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186.489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04472DC"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1.509.558</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CF7208F"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19,4%</w:t>
            </w:r>
          </w:p>
        </w:tc>
      </w:tr>
      <w:tr w:rsidR="005D62BA" w:rsidRPr="006068A2" w14:paraId="19C64DA8"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2B649BF"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Famisanar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637E4A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978.341</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94C94D8"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214.118</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F704B4"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1.192.459</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47C25E3"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15,3%</w:t>
            </w:r>
          </w:p>
        </w:tc>
      </w:tr>
      <w:tr w:rsidR="005D62BA" w:rsidRPr="006068A2" w14:paraId="185DBA78"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79DF7DA"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Salud Total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23A4D8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879.612</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1BCD3AB"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187.877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410ED42"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1.067.489</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86AE84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13,7%</w:t>
            </w:r>
          </w:p>
        </w:tc>
      </w:tr>
      <w:tr w:rsidR="005D62BA" w:rsidRPr="006068A2" w14:paraId="5FA51E0D"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EC75CCB"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Capital Salud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13FB15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61.609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383F98E"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820.349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097BFA"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881.958</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BE5F2ED"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11,3%</w:t>
            </w:r>
          </w:p>
        </w:tc>
      </w:tr>
      <w:tr w:rsidR="005D62BA" w:rsidRPr="006068A2" w14:paraId="2ACA7858"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7EBC27" w14:textId="77777777" w:rsidR="005D62BA" w:rsidRPr="006068A2" w:rsidRDefault="005D62BA" w:rsidP="00D7014B">
            <w:pPr>
              <w:spacing w:line="360" w:lineRule="auto"/>
              <w:jc w:val="both"/>
              <w:rPr>
                <w:rFonts w:ascii="Arial" w:eastAsia="Arial" w:hAnsi="Arial" w:cs="Arial"/>
                <w:sz w:val="22"/>
                <w:szCs w:val="22"/>
              </w:rPr>
            </w:pPr>
            <w:r w:rsidRPr="006068A2">
              <w:rPr>
                <w:rFonts w:ascii="Arial" w:eastAsia="Arial" w:hAnsi="Arial" w:cs="Arial"/>
                <w:sz w:val="22"/>
                <w:szCs w:val="22"/>
              </w:rPr>
              <w:t>Nueva EPS</w:t>
            </w:r>
          </w:p>
        </w:tc>
        <w:tc>
          <w:tcPr>
            <w:tcW w:w="13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504FF6F"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474.871</w:t>
            </w:r>
          </w:p>
        </w:tc>
        <w:tc>
          <w:tcPr>
            <w:tcW w:w="121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C801F1"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105.051</w:t>
            </w:r>
          </w:p>
        </w:tc>
        <w:tc>
          <w:tcPr>
            <w:tcW w:w="14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2FF525E"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579.922</w:t>
            </w:r>
          </w:p>
        </w:tc>
        <w:tc>
          <w:tcPr>
            <w:tcW w:w="120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807B57F"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7,5%</w:t>
            </w:r>
          </w:p>
        </w:tc>
      </w:tr>
      <w:tr w:rsidR="005D62BA" w:rsidRPr="006068A2" w14:paraId="50CAFAC6"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4778C14"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Sura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945B96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432.057</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2E5771C"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60.078</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81741D8"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492.135</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F45B8B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6,3%</w:t>
            </w:r>
          </w:p>
        </w:tc>
      </w:tr>
      <w:tr w:rsidR="005D62BA" w:rsidRPr="006068A2" w14:paraId="449A0543"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60358AC" w14:textId="77777777" w:rsidR="005D62BA" w:rsidRPr="006068A2" w:rsidRDefault="005D62BA" w:rsidP="00D7014B">
            <w:pPr>
              <w:spacing w:line="360" w:lineRule="auto"/>
              <w:jc w:val="both"/>
              <w:rPr>
                <w:rFonts w:ascii="Arial" w:eastAsia="Arial" w:hAnsi="Arial" w:cs="Arial"/>
                <w:color w:val="000000" w:themeColor="text1"/>
                <w:sz w:val="22"/>
                <w:szCs w:val="22"/>
                <w:lang w:val="es-ES"/>
              </w:rPr>
            </w:pPr>
            <w:r w:rsidRPr="006068A2">
              <w:rPr>
                <w:rFonts w:ascii="Arial" w:eastAsia="Arial" w:hAnsi="Arial" w:cs="Arial"/>
                <w:color w:val="000000" w:themeColor="text1"/>
                <w:sz w:val="22"/>
                <w:szCs w:val="22"/>
                <w:lang w:val="es-ES"/>
              </w:rPr>
              <w:t>Aliansalud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6D70B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250.516</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688DE3E"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7.464</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BC29CE2"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257.980</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40951F6"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3,3%</w:t>
            </w:r>
          </w:p>
        </w:tc>
      </w:tr>
      <w:tr w:rsidR="005D62BA" w:rsidRPr="006068A2" w14:paraId="175AA1A2"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63C8AC56" w14:textId="77777777" w:rsidR="005D62BA" w:rsidRPr="006068A2" w:rsidRDefault="005D62BA" w:rsidP="00D7014B">
            <w:pPr>
              <w:spacing w:line="360" w:lineRule="auto"/>
              <w:jc w:val="both"/>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Coosalud EPS</w:t>
            </w:r>
          </w:p>
        </w:tc>
        <w:tc>
          <w:tcPr>
            <w:tcW w:w="1340"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248846A5"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7.002</w:t>
            </w:r>
          </w:p>
        </w:tc>
        <w:tc>
          <w:tcPr>
            <w:tcW w:w="1216"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1B0AF4E5"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27.470</w:t>
            </w:r>
          </w:p>
        </w:tc>
        <w:tc>
          <w:tcPr>
            <w:tcW w:w="1491"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0E61BD93"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34.472</w:t>
            </w:r>
          </w:p>
        </w:tc>
        <w:tc>
          <w:tcPr>
            <w:tcW w:w="1209"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56B275B6" w14:textId="77777777" w:rsidR="005D62BA" w:rsidRPr="006068A2" w:rsidRDefault="005D62BA" w:rsidP="00D7014B">
            <w:pPr>
              <w:spacing w:line="360" w:lineRule="auto"/>
              <w:jc w:val="center"/>
              <w:rPr>
                <w:rFonts w:ascii="Arial" w:eastAsia="Arial" w:hAnsi="Arial" w:cs="Arial"/>
                <w:bCs/>
                <w:color w:val="000000" w:themeColor="text1"/>
                <w:sz w:val="22"/>
                <w:szCs w:val="22"/>
              </w:rPr>
            </w:pPr>
            <w:r w:rsidRPr="006068A2">
              <w:rPr>
                <w:rFonts w:ascii="Arial" w:eastAsia="Arial" w:hAnsi="Arial" w:cs="Arial"/>
                <w:bCs/>
                <w:color w:val="000000" w:themeColor="text1"/>
                <w:sz w:val="22"/>
                <w:szCs w:val="22"/>
              </w:rPr>
              <w:t>0,4%</w:t>
            </w:r>
          </w:p>
        </w:tc>
      </w:tr>
      <w:tr w:rsidR="005D62BA" w:rsidRPr="006068A2" w14:paraId="457791A3"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AF78784" w14:textId="77777777" w:rsidR="005D62BA" w:rsidRPr="006068A2" w:rsidRDefault="005D62BA" w:rsidP="00D7014B">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Ferrocarriles Nacionales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5168741"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2.730</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C4F9A35" w14:textId="77777777" w:rsidR="005D62BA" w:rsidRPr="006068A2" w:rsidRDefault="005D62BA" w:rsidP="00D7014B">
            <w:pPr>
              <w:spacing w:line="360" w:lineRule="auto"/>
              <w:jc w:val="center"/>
              <w:rPr>
                <w:rFonts w:ascii="Arial" w:eastAsia="Arial" w:hAnsi="Arial" w:cs="Arial"/>
                <w:color w:val="000000" w:themeColor="text1"/>
                <w:sz w:val="22"/>
                <w:szCs w:val="22"/>
              </w:rPr>
            </w:pP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4DBDC09"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2.730</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1953DFB"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0,04%</w:t>
            </w:r>
          </w:p>
        </w:tc>
      </w:tr>
      <w:tr w:rsidR="005D62BA" w:rsidRPr="006068A2" w14:paraId="42146B2D"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71AF0AF" w14:textId="77777777" w:rsidR="005D62BA" w:rsidRPr="006068A2" w:rsidRDefault="005D62BA" w:rsidP="00D7014B">
            <w:pPr>
              <w:spacing w:line="360" w:lineRule="auto"/>
              <w:jc w:val="both"/>
              <w:rPr>
                <w:rFonts w:ascii="Arial" w:eastAsia="Arial" w:hAnsi="Arial" w:cs="Arial"/>
                <w:color w:val="000000" w:themeColor="text1"/>
                <w:sz w:val="22"/>
                <w:szCs w:val="22"/>
                <w:lang w:val="es-ES"/>
              </w:rPr>
            </w:pPr>
            <w:r w:rsidRPr="006068A2">
              <w:rPr>
                <w:rFonts w:ascii="Arial" w:eastAsia="Arial" w:hAnsi="Arial" w:cs="Arial"/>
                <w:color w:val="000000" w:themeColor="text1"/>
                <w:sz w:val="22"/>
                <w:szCs w:val="22"/>
                <w:lang w:val="es-ES"/>
              </w:rPr>
              <w:t>Mallamas EPSI</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F903493"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A3DE4C9"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37ED6C1"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96</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4015487"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0,00%</w:t>
            </w:r>
          </w:p>
        </w:tc>
      </w:tr>
      <w:tr w:rsidR="005D62BA" w:rsidRPr="006068A2" w14:paraId="1A0897F8" w14:textId="77777777" w:rsidTr="003E16CD">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46076AA" w14:textId="77777777" w:rsidR="005D62BA" w:rsidRPr="006068A2" w:rsidRDefault="005D62BA" w:rsidP="00D7014B">
            <w:pPr>
              <w:spacing w:line="360" w:lineRule="auto"/>
              <w:jc w:val="both"/>
              <w:rPr>
                <w:rFonts w:ascii="Arial" w:eastAsia="Arial" w:hAnsi="Arial" w:cs="Arial"/>
                <w:b/>
                <w:bCs/>
                <w:color w:val="000000" w:themeColor="text1"/>
                <w:sz w:val="22"/>
                <w:szCs w:val="22"/>
                <w:lang w:val="es-ES"/>
              </w:rPr>
            </w:pPr>
            <w:r w:rsidRPr="006068A2">
              <w:rPr>
                <w:rFonts w:ascii="Arial" w:eastAsia="Arial" w:hAnsi="Arial" w:cs="Arial"/>
                <w:b/>
                <w:bCs/>
                <w:color w:val="000000" w:themeColor="text1"/>
                <w:sz w:val="22"/>
                <w:szCs w:val="22"/>
                <w:lang w:val="es-ES"/>
              </w:rPr>
              <w:t>Total, general</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3B51F04"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6.026.881</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673AC53"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1.744.899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EA6DE1E" w14:textId="77777777" w:rsidR="005D62BA" w:rsidRPr="006068A2" w:rsidRDefault="005D62BA" w:rsidP="00D7014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7.771.780</w:t>
            </w:r>
            <w:r w:rsidRPr="006068A2">
              <w:rPr>
                <w:rStyle w:val="Refdenotaalpie"/>
                <w:rFonts w:ascii="Arial" w:eastAsia="Arial" w:hAnsi="Arial" w:cs="Arial"/>
                <w:b/>
                <w:bCs/>
                <w:color w:val="000000" w:themeColor="text1"/>
                <w:sz w:val="22"/>
                <w:szCs w:val="22"/>
              </w:rPr>
              <w:footnoteReference w:id="3"/>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2A40960" w14:textId="77777777" w:rsidR="005D62BA" w:rsidRPr="006068A2" w:rsidRDefault="005D62BA" w:rsidP="00D7014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100%</w:t>
            </w:r>
          </w:p>
        </w:tc>
      </w:tr>
    </w:tbl>
    <w:p w14:paraId="56BAD4BE" w14:textId="77777777" w:rsidR="005D62BA" w:rsidRDefault="005D62BA" w:rsidP="005D62BA">
      <w:pPr>
        <w:spacing w:line="360" w:lineRule="auto"/>
        <w:jc w:val="both"/>
        <w:rPr>
          <w:rFonts w:ascii="Arial" w:eastAsia="Arial" w:hAnsi="Arial" w:cs="Arial"/>
          <w:sz w:val="16"/>
          <w:szCs w:val="16"/>
          <w:lang w:val="es-ES"/>
        </w:rPr>
      </w:pPr>
      <w:r w:rsidRPr="00E25D04">
        <w:rPr>
          <w:rFonts w:ascii="Arial" w:eastAsia="Arial" w:hAnsi="Arial" w:cs="Arial"/>
          <w:sz w:val="16"/>
          <w:szCs w:val="16"/>
          <w:lang w:val="es"/>
        </w:rPr>
        <w:t xml:space="preserve">Fuentes: </w:t>
      </w:r>
      <w:r w:rsidRPr="00E25D04">
        <w:rPr>
          <w:rFonts w:ascii="Arial" w:eastAsia="Arial" w:hAnsi="Arial" w:cs="Arial"/>
          <w:sz w:val="16"/>
          <w:szCs w:val="16"/>
          <w:lang w:val="es-ES"/>
        </w:rPr>
        <w:t>Contributivo BDUA - ADRES, corte a 6 de mayo de 2026.- Subsidiado BDUA - ADRES, corte a 6 de mayo de 2026.</w:t>
      </w:r>
      <w:r w:rsidRPr="00E25D04">
        <w:rPr>
          <w:rFonts w:ascii="Arial" w:hAnsi="Arial" w:cs="Arial"/>
          <w:sz w:val="16"/>
          <w:szCs w:val="16"/>
        </w:rPr>
        <w:t xml:space="preserve"> </w:t>
      </w:r>
      <w:hyperlink r:id="rId12" w:history="1">
        <w:r w:rsidRPr="008F0BB9">
          <w:rPr>
            <w:rStyle w:val="Hipervnculo"/>
            <w:rFonts w:ascii="Arial" w:eastAsia="Arial" w:hAnsi="Arial" w:cs="Arial"/>
            <w:sz w:val="16"/>
            <w:szCs w:val="16"/>
            <w:lang w:val="es-ES"/>
          </w:rPr>
          <w:t>https://public.tableau.com/app/profile/minsaludcol/viz/CifrasAseguramientoenSalud_16166927767750/Aseguramiento</w:t>
        </w:r>
      </w:hyperlink>
    </w:p>
    <w:p w14:paraId="58805A15" w14:textId="77777777" w:rsidR="005D62BA" w:rsidRPr="00E25D04" w:rsidRDefault="005D62BA" w:rsidP="005D62BA">
      <w:pPr>
        <w:spacing w:line="360" w:lineRule="auto"/>
        <w:jc w:val="both"/>
        <w:rPr>
          <w:rFonts w:ascii="Arial" w:eastAsia="Arial" w:hAnsi="Arial" w:cs="Arial"/>
          <w:sz w:val="16"/>
          <w:szCs w:val="16"/>
          <w:lang w:val="es-ES"/>
        </w:rPr>
      </w:pPr>
    </w:p>
    <w:p w14:paraId="3870B2B1" w14:textId="77777777" w:rsidR="005D62BA" w:rsidRDefault="005D62BA" w:rsidP="005D62BA">
      <w:pPr>
        <w:spacing w:line="360" w:lineRule="auto"/>
        <w:jc w:val="both"/>
        <w:rPr>
          <w:rFonts w:ascii="Arial" w:eastAsia="Arial" w:hAnsi="Arial" w:cs="Arial"/>
          <w:bCs/>
          <w:sz w:val="22"/>
          <w:szCs w:val="22"/>
        </w:rPr>
      </w:pPr>
      <w:r w:rsidRPr="006068A2">
        <w:rPr>
          <w:rFonts w:ascii="Arial" w:eastAsia="Arial" w:hAnsi="Arial" w:cs="Arial"/>
          <w:bCs/>
          <w:sz w:val="22"/>
          <w:szCs w:val="22"/>
        </w:rPr>
        <w:t>COOSALUD en Bogotá D.C., con corte a diciembre de 2025 y según la información registrada en el sitio web oficial del Ministerio de Salud y Protección Social (</w:t>
      </w:r>
      <w:hyperlink r:id="rId13" w:tgtFrame="_new" w:history="1">
        <w:r w:rsidRPr="006068A2">
          <w:rPr>
            <w:rStyle w:val="Hipervnculo"/>
            <w:rFonts w:ascii="Arial" w:eastAsia="Arial" w:hAnsi="Arial" w:cs="Arial"/>
            <w:bCs/>
            <w:sz w:val="22"/>
            <w:szCs w:val="22"/>
          </w:rPr>
          <w:t>https://public.tableau.com/app/profile/minsaludcol/viz/CifrasAseguramientoenSalud_16166927767750/Aseguramiento</w:t>
        </w:r>
      </w:hyperlink>
      <w:r w:rsidRPr="006068A2">
        <w:rPr>
          <w:rFonts w:ascii="Arial" w:eastAsia="Arial" w:hAnsi="Arial" w:cs="Arial"/>
          <w:bCs/>
          <w:sz w:val="22"/>
          <w:szCs w:val="22"/>
        </w:rPr>
        <w:t>), cuenta con un total de 34.472 afiliados. De este universo, 27.470 corresponden al régimen subsidiado, lo que representa el 79,69 %, mientras que 7.002 afiliados se encuentran en condición de movilidad, equivalente al 20,31 %. Estos datos permiten evidenciar la predominancia del régimen subsidiado dentro de la población afiliada en la ciudad.</w:t>
      </w:r>
    </w:p>
    <w:p w14:paraId="56840EA2" w14:textId="77777777" w:rsidR="005D62BA" w:rsidRPr="006068A2" w:rsidRDefault="005D62BA" w:rsidP="005D62BA">
      <w:pPr>
        <w:spacing w:line="360" w:lineRule="auto"/>
        <w:jc w:val="both"/>
        <w:rPr>
          <w:rFonts w:ascii="Arial" w:eastAsia="Arial" w:hAnsi="Arial" w:cs="Arial"/>
          <w:bCs/>
          <w:sz w:val="22"/>
          <w:szCs w:val="22"/>
        </w:rPr>
      </w:pPr>
    </w:p>
    <w:p w14:paraId="233250FE" w14:textId="77777777" w:rsidR="005D62BA" w:rsidRDefault="005D62BA" w:rsidP="005D62BA">
      <w:pPr>
        <w:spacing w:line="360" w:lineRule="auto"/>
        <w:jc w:val="both"/>
        <w:rPr>
          <w:rFonts w:ascii="Arial" w:eastAsia="Arial" w:hAnsi="Arial" w:cs="Arial"/>
          <w:bCs/>
          <w:sz w:val="22"/>
          <w:szCs w:val="22"/>
        </w:rPr>
      </w:pPr>
      <w:r w:rsidRPr="006068A2">
        <w:rPr>
          <w:rFonts w:ascii="Arial" w:eastAsia="Arial" w:hAnsi="Arial" w:cs="Arial"/>
          <w:bCs/>
          <w:sz w:val="22"/>
          <w:szCs w:val="22"/>
        </w:rPr>
        <w:lastRenderedPageBreak/>
        <w:t>En este sentido, la distribución porcentual refleja una alta concentración de usuarios en el régimen subsidiado, lo cual puede estar asociado a las condiciones socioeconómicas de la población atendida por la entidad en el Distrito Capital. Así mismo, el grupo en movilidad representa una proporción menor, pero significativa dentro del total de afiliados, lo que sugiere dinámicas de transición entre regímenes o continuidad en la atención en salud.</w:t>
      </w:r>
    </w:p>
    <w:p w14:paraId="5C59E894" w14:textId="77777777" w:rsidR="005D62BA" w:rsidRPr="006068A2" w:rsidRDefault="005D62BA" w:rsidP="005D62BA">
      <w:pPr>
        <w:spacing w:line="360" w:lineRule="auto"/>
        <w:jc w:val="both"/>
        <w:rPr>
          <w:rFonts w:ascii="Arial" w:eastAsia="Arial" w:hAnsi="Arial" w:cs="Arial"/>
          <w:bCs/>
          <w:sz w:val="22"/>
          <w:szCs w:val="22"/>
        </w:rPr>
      </w:pPr>
    </w:p>
    <w:p w14:paraId="2D148F9A" w14:textId="77777777" w:rsidR="00376DDE" w:rsidRDefault="00376DDE" w:rsidP="005D62BA">
      <w:pPr>
        <w:spacing w:line="360" w:lineRule="auto"/>
        <w:jc w:val="both"/>
        <w:rPr>
          <w:rFonts w:ascii="Arial" w:eastAsia="Arial" w:hAnsi="Arial" w:cs="Arial"/>
          <w:sz w:val="22"/>
          <w:szCs w:val="22"/>
        </w:rPr>
      </w:pPr>
      <w:r w:rsidRPr="00376DDE">
        <w:rPr>
          <w:rFonts w:ascii="Arial" w:eastAsia="Arial" w:hAnsi="Arial" w:cs="Arial"/>
          <w:sz w:val="22"/>
          <w:szCs w:val="22"/>
        </w:rPr>
        <w:t xml:space="preserve">Igualmente, vale la pena señalar que, entre diciembre de 2021 y diciembre de 2025, la población afiliada de COOSALUD EPS en Bogotá D. C. presentó un incremento neto de 15.901 usuarios, al pasar de 18.571 afiliados en 2021 a 34.472 en 2025. </w:t>
      </w:r>
    </w:p>
    <w:p w14:paraId="0BA8240A" w14:textId="77777777" w:rsidR="00376DDE" w:rsidRDefault="00376DDE" w:rsidP="005D62BA">
      <w:pPr>
        <w:spacing w:line="360" w:lineRule="auto"/>
        <w:jc w:val="both"/>
        <w:rPr>
          <w:rFonts w:ascii="Arial" w:eastAsia="Arial" w:hAnsi="Arial" w:cs="Arial"/>
          <w:sz w:val="22"/>
          <w:szCs w:val="22"/>
        </w:rPr>
      </w:pPr>
    </w:p>
    <w:p w14:paraId="26678C3B" w14:textId="08D5C30B" w:rsidR="005D62BA" w:rsidRDefault="00376DDE" w:rsidP="005D62BA">
      <w:pPr>
        <w:spacing w:line="360" w:lineRule="auto"/>
        <w:jc w:val="both"/>
        <w:rPr>
          <w:rFonts w:ascii="Arial" w:eastAsia="Arial" w:hAnsi="Arial" w:cs="Arial"/>
          <w:sz w:val="22"/>
          <w:szCs w:val="22"/>
        </w:rPr>
      </w:pPr>
      <w:r w:rsidRPr="00376DDE">
        <w:rPr>
          <w:rFonts w:ascii="Arial" w:eastAsia="Arial" w:hAnsi="Arial" w:cs="Arial"/>
          <w:sz w:val="22"/>
          <w:szCs w:val="22"/>
        </w:rPr>
        <w:t>Este comportamiento evidencia un crecimiento acumulado de la base de afiliación durante el periodo analizado, aunque con fluctuaciones importantes entre vigencias, marcadas por un aumento pronunciado en 2022, una reducción en 2023, un repunte en 2024 y una nueva disminución moderada en 2025. En consecuencia, más que una tendencia lineal de crecimiento o decrecimiento, la serie refleja una dinámica variable en la afiliación, probablemente asociada a procesos de movilidad entre EPS, actualizaciones de bases de datos, traslados de afiliados y cambios en las condiciones de aseguramiento de la población</w:t>
      </w:r>
    </w:p>
    <w:p w14:paraId="784553E9" w14:textId="77777777" w:rsidR="00376DDE" w:rsidRPr="006068A2" w:rsidRDefault="00376DDE" w:rsidP="005D62BA">
      <w:pPr>
        <w:spacing w:line="360" w:lineRule="auto"/>
        <w:jc w:val="both"/>
        <w:rPr>
          <w:rFonts w:ascii="Arial" w:eastAsia="Arial" w:hAnsi="Arial" w:cs="Arial"/>
          <w:sz w:val="22"/>
          <w:szCs w:val="22"/>
        </w:rPr>
      </w:pPr>
    </w:p>
    <w:p w14:paraId="6D7B76B8" w14:textId="2E6B5AD5" w:rsidR="005D62BA" w:rsidRPr="006068A2" w:rsidRDefault="005D62BA" w:rsidP="00C733C0">
      <w:pPr>
        <w:pStyle w:val="Descripcin"/>
        <w:spacing w:after="0" w:line="360" w:lineRule="auto"/>
        <w:jc w:val="both"/>
        <w:rPr>
          <w:rFonts w:ascii="Arial" w:eastAsia="Arial" w:hAnsi="Arial" w:cs="Arial"/>
          <w:i w:val="0"/>
          <w:iCs w:val="0"/>
          <w:color w:val="auto"/>
          <w:sz w:val="22"/>
          <w:szCs w:val="22"/>
        </w:rPr>
      </w:pPr>
      <w:bookmarkStart w:id="9" w:name="_Toc229395860"/>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3</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xml:space="preserve">. </w:t>
      </w:r>
      <w:r w:rsidRPr="006068A2">
        <w:rPr>
          <w:rFonts w:ascii="Arial" w:eastAsia="Arial" w:hAnsi="Arial" w:cs="Arial"/>
          <w:i w:val="0"/>
          <w:iCs w:val="0"/>
          <w:color w:val="auto"/>
          <w:sz w:val="22"/>
          <w:szCs w:val="22"/>
        </w:rPr>
        <w:t>Total, de población afiliada a COOSALUD EPS 2021-2025 – Bogotá D.C.</w:t>
      </w:r>
      <w:bookmarkEnd w:id="9"/>
    </w:p>
    <w:p w14:paraId="34865D6A" w14:textId="77777777" w:rsidR="005D62BA" w:rsidRPr="006068A2" w:rsidRDefault="005D62BA" w:rsidP="005D62BA">
      <w:pPr>
        <w:spacing w:line="360" w:lineRule="auto"/>
        <w:rPr>
          <w:rFonts w:ascii="Arial" w:eastAsia="Arial" w:hAnsi="Arial" w:cs="Arial"/>
          <w:sz w:val="22"/>
          <w:szCs w:val="22"/>
        </w:rPr>
      </w:pPr>
    </w:p>
    <w:tbl>
      <w:tblPr>
        <w:tblW w:w="7258" w:type="dxa"/>
        <w:jc w:val="center"/>
        <w:tblLook w:val="06A0" w:firstRow="1" w:lastRow="0" w:firstColumn="1" w:lastColumn="0" w:noHBand="1" w:noVBand="1"/>
      </w:tblPr>
      <w:tblGrid>
        <w:gridCol w:w="2101"/>
        <w:gridCol w:w="1116"/>
        <w:gridCol w:w="1000"/>
        <w:gridCol w:w="962"/>
        <w:gridCol w:w="1000"/>
        <w:gridCol w:w="1079"/>
      </w:tblGrid>
      <w:tr w:rsidR="005D62BA" w:rsidRPr="006068A2" w14:paraId="40E3EDB1" w14:textId="77777777" w:rsidTr="009C1C71">
        <w:trPr>
          <w:trHeight w:val="340"/>
          <w:jc w:val="center"/>
        </w:trPr>
        <w:tc>
          <w:tcPr>
            <w:tcW w:w="2101" w:type="dxa"/>
            <w:tcBorders>
              <w:top w:val="single" w:sz="4"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1BA8CFE"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Coosalud</w:t>
            </w:r>
          </w:p>
        </w:tc>
        <w:tc>
          <w:tcPr>
            <w:tcW w:w="1116"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CBFABD1"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2021</w:t>
            </w:r>
          </w:p>
        </w:tc>
        <w:tc>
          <w:tcPr>
            <w:tcW w:w="1000"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02F259A"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2022</w:t>
            </w:r>
          </w:p>
        </w:tc>
        <w:tc>
          <w:tcPr>
            <w:tcW w:w="962"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BC25306"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2023</w:t>
            </w:r>
          </w:p>
        </w:tc>
        <w:tc>
          <w:tcPr>
            <w:tcW w:w="1000"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8F7CB00"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2024</w:t>
            </w:r>
          </w:p>
        </w:tc>
        <w:tc>
          <w:tcPr>
            <w:tcW w:w="1079"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5336CDC"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2025</w:t>
            </w:r>
          </w:p>
        </w:tc>
      </w:tr>
      <w:tr w:rsidR="005D62BA" w:rsidRPr="006068A2" w14:paraId="1FB38E91" w14:textId="77777777" w:rsidTr="009C1C71">
        <w:trPr>
          <w:trHeight w:val="720"/>
          <w:jc w:val="center"/>
        </w:trPr>
        <w:tc>
          <w:tcPr>
            <w:tcW w:w="2101"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3227ADE" w14:textId="77777777" w:rsidR="005D62BA" w:rsidRPr="006068A2" w:rsidRDefault="005D62BA" w:rsidP="00D7014B">
            <w:pPr>
              <w:spacing w:line="360" w:lineRule="auto"/>
              <w:jc w:val="both"/>
              <w:rPr>
                <w:rFonts w:ascii="Arial" w:eastAsia="Arial" w:hAnsi="Arial" w:cs="Arial"/>
                <w:sz w:val="22"/>
                <w:szCs w:val="22"/>
              </w:rPr>
            </w:pPr>
            <w:r w:rsidRPr="006068A2">
              <w:rPr>
                <w:rFonts w:ascii="Arial" w:eastAsia="Arial" w:hAnsi="Arial" w:cs="Arial"/>
                <w:sz w:val="22"/>
                <w:szCs w:val="22"/>
              </w:rPr>
              <w:t xml:space="preserve">Contributivo </w:t>
            </w:r>
          </w:p>
        </w:tc>
        <w:tc>
          <w:tcPr>
            <w:tcW w:w="11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5CD048C6"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4.890</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D84C1A1"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9.169</w:t>
            </w:r>
          </w:p>
        </w:tc>
        <w:tc>
          <w:tcPr>
            <w:tcW w:w="9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90504F9"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7.281</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09C82DF"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7.293</w:t>
            </w:r>
          </w:p>
        </w:tc>
        <w:tc>
          <w:tcPr>
            <w:tcW w:w="10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F558A9D"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7.002</w:t>
            </w:r>
          </w:p>
        </w:tc>
      </w:tr>
      <w:tr w:rsidR="005D62BA" w:rsidRPr="006068A2" w14:paraId="669A69DC" w14:textId="77777777" w:rsidTr="009C1C71">
        <w:trPr>
          <w:trHeight w:val="720"/>
          <w:jc w:val="center"/>
        </w:trPr>
        <w:tc>
          <w:tcPr>
            <w:tcW w:w="2101"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67108DF" w14:textId="77777777" w:rsidR="005D62BA" w:rsidRPr="006068A2" w:rsidRDefault="005D62BA" w:rsidP="00D7014B">
            <w:pPr>
              <w:spacing w:line="360" w:lineRule="auto"/>
              <w:jc w:val="both"/>
              <w:rPr>
                <w:rFonts w:ascii="Arial" w:eastAsia="Arial" w:hAnsi="Arial" w:cs="Arial"/>
                <w:sz w:val="22"/>
                <w:szCs w:val="22"/>
              </w:rPr>
            </w:pPr>
            <w:r w:rsidRPr="006068A2">
              <w:rPr>
                <w:rFonts w:ascii="Arial" w:eastAsia="Arial" w:hAnsi="Arial" w:cs="Arial"/>
                <w:sz w:val="22"/>
                <w:szCs w:val="22"/>
              </w:rPr>
              <w:t xml:space="preserve">Subsidiado </w:t>
            </w:r>
          </w:p>
        </w:tc>
        <w:tc>
          <w:tcPr>
            <w:tcW w:w="11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96E35B0"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13.681</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40EA99C"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27.065</w:t>
            </w:r>
          </w:p>
        </w:tc>
        <w:tc>
          <w:tcPr>
            <w:tcW w:w="9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18D8524"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23.726</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D3963C8"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28.078</w:t>
            </w:r>
          </w:p>
        </w:tc>
        <w:tc>
          <w:tcPr>
            <w:tcW w:w="10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DB5E838" w14:textId="77777777" w:rsidR="005D62BA" w:rsidRPr="006068A2" w:rsidRDefault="005D62BA" w:rsidP="00D7014B">
            <w:pPr>
              <w:spacing w:line="360" w:lineRule="auto"/>
              <w:jc w:val="center"/>
              <w:rPr>
                <w:rFonts w:ascii="Arial" w:eastAsia="Arial" w:hAnsi="Arial" w:cs="Arial"/>
                <w:sz w:val="22"/>
                <w:szCs w:val="22"/>
              </w:rPr>
            </w:pPr>
            <w:r w:rsidRPr="006068A2">
              <w:rPr>
                <w:rFonts w:ascii="Arial" w:eastAsia="Arial" w:hAnsi="Arial" w:cs="Arial"/>
                <w:sz w:val="22"/>
                <w:szCs w:val="22"/>
              </w:rPr>
              <w:t>27.470</w:t>
            </w:r>
          </w:p>
        </w:tc>
      </w:tr>
      <w:tr w:rsidR="005D62BA" w:rsidRPr="006068A2" w14:paraId="2BA6C538" w14:textId="77777777" w:rsidTr="009C1C71">
        <w:trPr>
          <w:trHeight w:val="686"/>
          <w:jc w:val="center"/>
        </w:trPr>
        <w:tc>
          <w:tcPr>
            <w:tcW w:w="2101"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CDBFBA1" w14:textId="77777777" w:rsidR="005D62BA" w:rsidRPr="006068A2" w:rsidRDefault="005D62BA" w:rsidP="00D7014B">
            <w:pPr>
              <w:spacing w:line="360" w:lineRule="auto"/>
              <w:jc w:val="both"/>
              <w:rPr>
                <w:rFonts w:ascii="Arial" w:eastAsia="Arial" w:hAnsi="Arial" w:cs="Arial"/>
                <w:b/>
                <w:bCs/>
                <w:sz w:val="22"/>
                <w:szCs w:val="22"/>
              </w:rPr>
            </w:pPr>
            <w:r w:rsidRPr="006068A2">
              <w:rPr>
                <w:rFonts w:ascii="Arial" w:eastAsia="Arial" w:hAnsi="Arial" w:cs="Arial"/>
                <w:b/>
                <w:bCs/>
                <w:sz w:val="22"/>
                <w:szCs w:val="22"/>
              </w:rPr>
              <w:t xml:space="preserve">Total, Afiliados </w:t>
            </w:r>
          </w:p>
        </w:tc>
        <w:tc>
          <w:tcPr>
            <w:tcW w:w="11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E51401B"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18.571</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E1525DE"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36.234</w:t>
            </w:r>
          </w:p>
        </w:tc>
        <w:tc>
          <w:tcPr>
            <w:tcW w:w="9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C5AC298"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31.007</w:t>
            </w:r>
          </w:p>
        </w:tc>
        <w:tc>
          <w:tcPr>
            <w:tcW w:w="10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0E7E7F6"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35.371</w:t>
            </w:r>
          </w:p>
        </w:tc>
        <w:tc>
          <w:tcPr>
            <w:tcW w:w="107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BBA7853" w14:textId="77777777" w:rsidR="005D62BA" w:rsidRPr="006068A2" w:rsidRDefault="005D62BA" w:rsidP="00D7014B">
            <w:pPr>
              <w:spacing w:line="360" w:lineRule="auto"/>
              <w:jc w:val="center"/>
              <w:rPr>
                <w:rFonts w:ascii="Arial" w:eastAsia="Arial" w:hAnsi="Arial" w:cs="Arial"/>
                <w:b/>
                <w:bCs/>
                <w:sz w:val="22"/>
                <w:szCs w:val="22"/>
              </w:rPr>
            </w:pPr>
            <w:r w:rsidRPr="006068A2">
              <w:rPr>
                <w:rFonts w:ascii="Arial" w:eastAsia="Arial" w:hAnsi="Arial" w:cs="Arial"/>
                <w:b/>
                <w:bCs/>
                <w:sz w:val="22"/>
                <w:szCs w:val="22"/>
              </w:rPr>
              <w:t>34.472</w:t>
            </w:r>
          </w:p>
        </w:tc>
      </w:tr>
    </w:tbl>
    <w:p w14:paraId="37E8D09B" w14:textId="37D82AB0" w:rsidR="005D62BA" w:rsidRDefault="005D62BA" w:rsidP="005D62BA">
      <w:pPr>
        <w:spacing w:line="360" w:lineRule="auto"/>
        <w:jc w:val="both"/>
        <w:rPr>
          <w:rFonts w:ascii="Arial" w:eastAsia="Arial" w:hAnsi="Arial" w:cs="Arial"/>
          <w:sz w:val="16"/>
          <w:szCs w:val="16"/>
        </w:rPr>
      </w:pPr>
      <w:r w:rsidRPr="00D44226">
        <w:rPr>
          <w:rFonts w:ascii="Arial" w:eastAsia="Arial" w:hAnsi="Arial" w:cs="Arial"/>
          <w:sz w:val="16"/>
          <w:szCs w:val="16"/>
        </w:rPr>
        <w:t xml:space="preserve">Fuente: Ministerio de Salud y Protección Social. Cifras de afiliación en salud (Datos para descarga: “Cifras diciembre 2025”, corte a </w:t>
      </w:r>
      <w:r w:rsidR="00900608">
        <w:rPr>
          <w:rFonts w:ascii="Arial" w:eastAsia="Arial" w:hAnsi="Arial" w:cs="Arial"/>
          <w:sz w:val="16"/>
          <w:szCs w:val="16"/>
        </w:rPr>
        <w:t>31</w:t>
      </w:r>
      <w:r w:rsidRPr="00D44226">
        <w:rPr>
          <w:rFonts w:ascii="Arial" w:eastAsia="Arial" w:hAnsi="Arial" w:cs="Arial"/>
          <w:sz w:val="16"/>
          <w:szCs w:val="16"/>
        </w:rPr>
        <w:t xml:space="preserve"> de </w:t>
      </w:r>
      <w:r w:rsidR="00900608">
        <w:rPr>
          <w:rFonts w:ascii="Arial" w:eastAsia="Arial" w:hAnsi="Arial" w:cs="Arial"/>
          <w:sz w:val="16"/>
          <w:szCs w:val="16"/>
        </w:rPr>
        <w:t>diciembre</w:t>
      </w:r>
      <w:r w:rsidRPr="00D44226">
        <w:rPr>
          <w:rFonts w:ascii="Arial" w:eastAsia="Arial" w:hAnsi="Arial" w:cs="Arial"/>
          <w:sz w:val="16"/>
          <w:szCs w:val="16"/>
        </w:rPr>
        <w:t xml:space="preserve"> de 2025). Consultado el 06 de mayo de 2026 en </w:t>
      </w:r>
      <w:hyperlink r:id="rId14" w:history="1">
        <w:r w:rsidRPr="008F0BB9">
          <w:rPr>
            <w:rStyle w:val="Hipervnculo"/>
            <w:rFonts w:ascii="Arial" w:eastAsia="Arial" w:hAnsi="Arial" w:cs="Arial"/>
            <w:sz w:val="16"/>
            <w:szCs w:val="16"/>
          </w:rPr>
          <w:t>https://public.tableau.com/app/profile/minsaludcol/viz/CifrasAseguramientoenSalud_16166927767750/Aseguramiento</w:t>
        </w:r>
      </w:hyperlink>
    </w:p>
    <w:p w14:paraId="7997AD49" w14:textId="77777777" w:rsidR="005D62BA" w:rsidRPr="006068A2" w:rsidRDefault="005D62BA" w:rsidP="005D62BA">
      <w:pPr>
        <w:spacing w:line="360" w:lineRule="auto"/>
        <w:jc w:val="both"/>
        <w:rPr>
          <w:rFonts w:ascii="Arial" w:eastAsia="Arial" w:hAnsi="Arial" w:cs="Arial"/>
          <w:sz w:val="22"/>
          <w:szCs w:val="22"/>
        </w:rPr>
      </w:pPr>
    </w:p>
    <w:p w14:paraId="20EF5451" w14:textId="77777777" w:rsidR="00DB7E37" w:rsidRPr="00DB7E37" w:rsidRDefault="00DB7E37" w:rsidP="00DB7E37">
      <w:pPr>
        <w:spacing w:line="360" w:lineRule="auto"/>
        <w:jc w:val="both"/>
        <w:rPr>
          <w:rFonts w:ascii="Arial" w:eastAsia="Arial" w:hAnsi="Arial" w:cs="Arial"/>
          <w:sz w:val="22"/>
          <w:szCs w:val="22"/>
        </w:rPr>
      </w:pPr>
      <w:r w:rsidRPr="00DB7E37">
        <w:rPr>
          <w:rFonts w:ascii="Arial" w:eastAsia="Arial" w:hAnsi="Arial" w:cs="Arial"/>
          <w:sz w:val="22"/>
          <w:szCs w:val="22"/>
        </w:rPr>
        <w:t xml:space="preserve">Durante el periodo 2021–2025, la población afiliada a COOSALUD EPS en Bogotá D. C. presentó un comportamiento fluctuante, con aumentos y reducciones en distintos momentos del periodo analizado. Luego de registrar 18.571 afiliados en 2021, la EPS </w:t>
      </w:r>
      <w:r w:rsidRPr="00DB7E37">
        <w:rPr>
          <w:rFonts w:ascii="Arial" w:eastAsia="Arial" w:hAnsi="Arial" w:cs="Arial"/>
          <w:sz w:val="22"/>
          <w:szCs w:val="22"/>
        </w:rPr>
        <w:lastRenderedPageBreak/>
        <w:t>alcanzó su nivel más alto en 2022, con 36.234 usuarios, lo que representó un incremento de 95,1% frente al año anterior. Posteriormente, en 2023, la afiliación descendió a 31.007 usuarios, equivalente a una disminución de 14,4% respecto de 2022.</w:t>
      </w:r>
    </w:p>
    <w:p w14:paraId="18826FBC" w14:textId="77777777" w:rsidR="00DB7E37" w:rsidRPr="00DB7E37" w:rsidRDefault="00DB7E37" w:rsidP="00DB7E37">
      <w:pPr>
        <w:spacing w:line="360" w:lineRule="auto"/>
        <w:jc w:val="both"/>
        <w:rPr>
          <w:rFonts w:ascii="Arial" w:eastAsia="Arial" w:hAnsi="Arial" w:cs="Arial"/>
          <w:sz w:val="22"/>
          <w:szCs w:val="22"/>
        </w:rPr>
      </w:pPr>
    </w:p>
    <w:p w14:paraId="5F053DA3" w14:textId="77777777" w:rsidR="00DB7E37" w:rsidRPr="00DB7E37" w:rsidRDefault="00DB7E37" w:rsidP="00DB7E37">
      <w:pPr>
        <w:spacing w:line="360" w:lineRule="auto"/>
        <w:jc w:val="both"/>
        <w:rPr>
          <w:rFonts w:ascii="Arial" w:eastAsia="Arial" w:hAnsi="Arial" w:cs="Arial"/>
          <w:sz w:val="22"/>
          <w:szCs w:val="22"/>
        </w:rPr>
      </w:pPr>
      <w:r w:rsidRPr="00DB7E37">
        <w:rPr>
          <w:rFonts w:ascii="Arial" w:eastAsia="Arial" w:hAnsi="Arial" w:cs="Arial"/>
          <w:sz w:val="22"/>
          <w:szCs w:val="22"/>
        </w:rPr>
        <w:t>En 2024 se observó un nuevo repunte, al alcanzar 35.371 afiliados, con una variación positiva de 14,1% frente a 2023. Sin embargo, al cierre de 2025 la población afiliada volvió a reducirse, ubicándose en 34.472 usuarios, lo que corresponde a una disminución de 2,5% en comparación con 2024. Pese a esta última caída, el balance del periodo muestra un crecimiento neto de 15.901 afiliados entre 2021 y 2025, lo que evidencia una expansión acumulada de la base de afiliación de la EPS en Bogotá.</w:t>
      </w:r>
    </w:p>
    <w:p w14:paraId="671A74D9" w14:textId="77777777" w:rsidR="00DB7E37" w:rsidRPr="00DB7E37" w:rsidRDefault="00DB7E37" w:rsidP="00DB7E37">
      <w:pPr>
        <w:spacing w:line="360" w:lineRule="auto"/>
        <w:jc w:val="both"/>
        <w:rPr>
          <w:rFonts w:ascii="Arial" w:eastAsia="Arial" w:hAnsi="Arial" w:cs="Arial"/>
          <w:sz w:val="22"/>
          <w:szCs w:val="22"/>
        </w:rPr>
      </w:pPr>
    </w:p>
    <w:p w14:paraId="78A282CC" w14:textId="7D01927A" w:rsidR="005D62BA" w:rsidRDefault="00DB7E37" w:rsidP="00DB7E37">
      <w:pPr>
        <w:spacing w:line="360" w:lineRule="auto"/>
        <w:jc w:val="both"/>
        <w:rPr>
          <w:rFonts w:ascii="Arial" w:eastAsia="Arial" w:hAnsi="Arial" w:cs="Arial"/>
          <w:sz w:val="22"/>
          <w:szCs w:val="22"/>
        </w:rPr>
      </w:pPr>
      <w:r w:rsidRPr="00DB7E37">
        <w:rPr>
          <w:rFonts w:ascii="Arial" w:eastAsia="Arial" w:hAnsi="Arial" w:cs="Arial"/>
          <w:sz w:val="22"/>
          <w:szCs w:val="22"/>
        </w:rPr>
        <w:t>Por régimen, el comportamiento también refleja variaciones relevantes. En el régimen contributivo, la afiliación pasó de 4.890 usuarios en 2021 a 7.002 en 2025, mientras que en el subsidiado aumentó de 13.681 a 27.470 afiliados en el mismo periodo. En conjunto, estas fluctuaciones sugieren dinámicas propias del sistema de aseguramiento, asociadas a movilidad de afiliados entre EPS, procesos de actualización y depuración de bases de datos, así como cambios en las condiciones de afiliación de la población.</w:t>
      </w:r>
    </w:p>
    <w:p w14:paraId="57DA68ED" w14:textId="77777777" w:rsidR="00DB7E37" w:rsidRPr="006068A2" w:rsidRDefault="00DB7E37" w:rsidP="00DB7E37">
      <w:pPr>
        <w:spacing w:line="360" w:lineRule="auto"/>
        <w:jc w:val="both"/>
        <w:rPr>
          <w:rFonts w:ascii="Arial" w:eastAsia="Arial" w:hAnsi="Arial" w:cs="Arial"/>
          <w:sz w:val="22"/>
          <w:szCs w:val="22"/>
        </w:rPr>
      </w:pPr>
    </w:p>
    <w:p w14:paraId="0D80C725" w14:textId="76D901B1" w:rsidR="005D62BA" w:rsidRDefault="005D62BA" w:rsidP="003F3C8F">
      <w:pPr>
        <w:spacing w:line="360" w:lineRule="auto"/>
        <w:jc w:val="center"/>
        <w:rPr>
          <w:rFonts w:ascii="Arial" w:eastAsia="Arial" w:hAnsi="Arial" w:cs="Arial"/>
          <w:sz w:val="22"/>
          <w:szCs w:val="22"/>
        </w:rPr>
      </w:pPr>
      <w:bookmarkStart w:id="10" w:name="_Toc229395919"/>
      <w:r w:rsidRPr="006068A2">
        <w:rPr>
          <w:rFonts w:ascii="Arial" w:hAnsi="Arial" w:cs="Arial"/>
          <w:sz w:val="22"/>
          <w:szCs w:val="22"/>
        </w:rPr>
        <w:t xml:space="preserve">Ilustración </w:t>
      </w:r>
      <w:r w:rsidRPr="006068A2">
        <w:rPr>
          <w:rFonts w:ascii="Arial" w:hAnsi="Arial" w:cs="Arial"/>
          <w:i/>
          <w:iCs/>
          <w:sz w:val="22"/>
          <w:szCs w:val="22"/>
        </w:rPr>
        <w:fldChar w:fldCharType="begin"/>
      </w:r>
      <w:r w:rsidRPr="006068A2">
        <w:rPr>
          <w:rFonts w:ascii="Arial" w:hAnsi="Arial" w:cs="Arial"/>
          <w:sz w:val="22"/>
          <w:szCs w:val="22"/>
        </w:rPr>
        <w:instrText xml:space="preserve"> SEQ Ilustración \* ARABIC </w:instrText>
      </w:r>
      <w:r w:rsidRPr="006068A2">
        <w:rPr>
          <w:rFonts w:ascii="Arial" w:hAnsi="Arial" w:cs="Arial"/>
          <w:i/>
          <w:iCs/>
          <w:sz w:val="22"/>
          <w:szCs w:val="22"/>
        </w:rPr>
        <w:fldChar w:fldCharType="separate"/>
      </w:r>
      <w:r w:rsidR="009E481B">
        <w:rPr>
          <w:rFonts w:ascii="Arial" w:hAnsi="Arial" w:cs="Arial"/>
          <w:noProof/>
          <w:sz w:val="22"/>
          <w:szCs w:val="22"/>
        </w:rPr>
        <w:t>1</w:t>
      </w:r>
      <w:r w:rsidRPr="006068A2">
        <w:rPr>
          <w:rFonts w:ascii="Arial" w:hAnsi="Arial" w:cs="Arial"/>
          <w:i/>
          <w:iCs/>
          <w:sz w:val="22"/>
          <w:szCs w:val="22"/>
        </w:rPr>
        <w:fldChar w:fldCharType="end"/>
      </w:r>
      <w:r w:rsidRPr="006068A2">
        <w:rPr>
          <w:rFonts w:ascii="Arial" w:hAnsi="Arial" w:cs="Arial"/>
          <w:sz w:val="22"/>
          <w:szCs w:val="22"/>
        </w:rPr>
        <w:t xml:space="preserve">. </w:t>
      </w:r>
      <w:r w:rsidRPr="006068A2">
        <w:rPr>
          <w:rFonts w:ascii="Arial" w:eastAsia="Arial" w:hAnsi="Arial" w:cs="Arial"/>
          <w:sz w:val="22"/>
          <w:szCs w:val="22"/>
        </w:rPr>
        <w:t>Tendencia afiliados COOSALUD EPS por régimen 2021-2025 - Bogotá D.C.</w:t>
      </w:r>
      <w:bookmarkEnd w:id="10"/>
    </w:p>
    <w:p w14:paraId="206493CF" w14:textId="77777777" w:rsidR="005D62BA" w:rsidRPr="006068A2" w:rsidRDefault="005D62BA" w:rsidP="005D62BA">
      <w:pPr>
        <w:spacing w:line="360" w:lineRule="auto"/>
        <w:jc w:val="both"/>
        <w:rPr>
          <w:rFonts w:ascii="Arial" w:hAnsi="Arial" w:cs="Arial"/>
          <w:i/>
          <w:iCs/>
          <w:color w:val="EE0000"/>
          <w:sz w:val="22"/>
          <w:szCs w:val="22"/>
        </w:rPr>
      </w:pPr>
    </w:p>
    <w:p w14:paraId="4D873CF9" w14:textId="77777777" w:rsidR="005D62BA" w:rsidRPr="006068A2" w:rsidRDefault="005D62BA" w:rsidP="005D62BA">
      <w:pPr>
        <w:spacing w:line="360" w:lineRule="auto"/>
        <w:jc w:val="both"/>
        <w:rPr>
          <w:rFonts w:ascii="Arial" w:hAnsi="Arial" w:cs="Arial"/>
          <w:sz w:val="22"/>
          <w:szCs w:val="22"/>
        </w:rPr>
      </w:pPr>
      <w:r w:rsidRPr="006068A2">
        <w:rPr>
          <w:rFonts w:ascii="Arial" w:hAnsi="Arial" w:cs="Arial"/>
          <w:noProof/>
          <w:sz w:val="22"/>
          <w:szCs w:val="22"/>
          <w:lang w:eastAsia="es-CO"/>
        </w:rPr>
        <w:drawing>
          <wp:inline distT="0" distB="0" distL="0" distR="0" wp14:anchorId="270469D5" wp14:editId="4C7F156F">
            <wp:extent cx="5505450" cy="2743200"/>
            <wp:effectExtent l="0" t="0" r="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83AEEF4" w14:textId="02AA2C4E" w:rsidR="005D62BA" w:rsidRPr="00AD104F" w:rsidRDefault="005D62BA" w:rsidP="00D756EA">
      <w:pPr>
        <w:spacing w:line="360" w:lineRule="auto"/>
        <w:rPr>
          <w:rFonts w:ascii="Arial" w:eastAsia="Arial" w:hAnsi="Arial" w:cs="Arial"/>
          <w:sz w:val="16"/>
          <w:szCs w:val="16"/>
        </w:rPr>
      </w:pPr>
      <w:r w:rsidRPr="00AD104F">
        <w:rPr>
          <w:rFonts w:ascii="Arial" w:eastAsia="Arial" w:hAnsi="Arial" w:cs="Arial"/>
          <w:sz w:val="16"/>
          <w:szCs w:val="16"/>
        </w:rPr>
        <w:t>Fuente: Ministerio de Salud y Protección Social. Cifras de afiliación en salud, corte a 3</w:t>
      </w:r>
      <w:r w:rsidR="008E5221">
        <w:rPr>
          <w:rFonts w:ascii="Arial" w:eastAsia="Arial" w:hAnsi="Arial" w:cs="Arial"/>
          <w:sz w:val="16"/>
          <w:szCs w:val="16"/>
        </w:rPr>
        <w:t>1-12</w:t>
      </w:r>
      <w:r w:rsidRPr="00AD104F">
        <w:rPr>
          <w:rFonts w:ascii="Arial" w:eastAsia="Arial" w:hAnsi="Arial" w:cs="Arial"/>
          <w:sz w:val="16"/>
          <w:szCs w:val="16"/>
        </w:rPr>
        <w:t>-2025. Consultado en:</w:t>
      </w:r>
    </w:p>
    <w:p w14:paraId="67EDDFF4" w14:textId="77777777" w:rsidR="005D62BA" w:rsidRPr="00AD104F" w:rsidRDefault="00000000" w:rsidP="005D62BA">
      <w:pPr>
        <w:spacing w:line="360" w:lineRule="auto"/>
        <w:jc w:val="both"/>
        <w:rPr>
          <w:rFonts w:ascii="Arial" w:eastAsia="Arial" w:hAnsi="Arial" w:cs="Arial"/>
          <w:sz w:val="16"/>
          <w:szCs w:val="16"/>
        </w:rPr>
      </w:pPr>
      <w:hyperlink r:id="rId16" w:history="1">
        <w:r w:rsidR="005D62BA" w:rsidRPr="00AD104F">
          <w:rPr>
            <w:rStyle w:val="Hipervnculo"/>
            <w:rFonts w:ascii="Arial" w:eastAsia="Arial" w:hAnsi="Arial" w:cs="Arial"/>
            <w:sz w:val="16"/>
            <w:szCs w:val="16"/>
          </w:rPr>
          <w:t>https://public.tableau.com/app/profile/minsaludcol/viz/CifrasAseguramientoenSalud_16166927767750/Aseguramiento</w:t>
        </w:r>
      </w:hyperlink>
    </w:p>
    <w:p w14:paraId="2BB58143" w14:textId="77777777" w:rsidR="005D62BA" w:rsidRPr="006068A2" w:rsidRDefault="005D62BA" w:rsidP="005D62BA">
      <w:pPr>
        <w:spacing w:line="360" w:lineRule="auto"/>
        <w:jc w:val="both"/>
        <w:rPr>
          <w:rFonts w:ascii="Arial" w:eastAsia="Arial" w:hAnsi="Arial" w:cs="Arial"/>
          <w:sz w:val="22"/>
          <w:szCs w:val="22"/>
        </w:rPr>
      </w:pPr>
    </w:p>
    <w:p w14:paraId="5A7E5326" w14:textId="158C59C2" w:rsidR="004A18E2" w:rsidRPr="004A18E2" w:rsidRDefault="0043304F" w:rsidP="004A18E2">
      <w:pPr>
        <w:spacing w:line="360" w:lineRule="auto"/>
        <w:jc w:val="both"/>
        <w:rPr>
          <w:rFonts w:ascii="Arial" w:eastAsia="Arial" w:hAnsi="Arial" w:cs="Arial"/>
          <w:sz w:val="22"/>
          <w:szCs w:val="22"/>
        </w:rPr>
      </w:pPr>
      <w:r>
        <w:rPr>
          <w:rFonts w:ascii="Arial" w:eastAsia="Arial" w:hAnsi="Arial" w:cs="Arial"/>
          <w:sz w:val="22"/>
          <w:szCs w:val="22"/>
        </w:rPr>
        <w:t>Ahora bien, l</w:t>
      </w:r>
      <w:r w:rsidR="004A18E2" w:rsidRPr="004A18E2">
        <w:rPr>
          <w:rFonts w:ascii="Arial" w:eastAsia="Arial" w:hAnsi="Arial" w:cs="Arial"/>
          <w:sz w:val="22"/>
          <w:szCs w:val="22"/>
        </w:rPr>
        <w:t>a Ilustración 1 muestra la evolución de la afiliación de COOSALUD EPS en Bogotá D. C. por régimen durante el periodo 2021–2025, evidenciando un comportamiento fluctuante en ambos componentes, aunque con crecimiento acumulado al cierre del periodo. En el régimen contributivo, la afiliación pasó de 4.890 usuarios en 2021 a 7.002 en 2025, lo que representa un incremento de 43,19%. No obstante, este comportamiento no fue lineal, dado que en 2022 se registró el valor más alto de la serie, con 9.169 afiliados, seguido de una reducción a 7.281 en 2023, una relativa estabilidad en 2024 con 7.293 y una nueva disminución en 2025. Esta trayectoria sugiere variaciones en la permanencia de la población afiliada en este régimen, las cuales conviene contrastar con la dinámica de movilidad, traslados y novedades de afiliación registradas en el periodo.</w:t>
      </w:r>
    </w:p>
    <w:p w14:paraId="3B48B02C" w14:textId="77777777" w:rsidR="004A18E2" w:rsidRPr="004A18E2" w:rsidRDefault="004A18E2" w:rsidP="004A18E2">
      <w:pPr>
        <w:spacing w:line="360" w:lineRule="auto"/>
        <w:jc w:val="both"/>
        <w:rPr>
          <w:rFonts w:ascii="Arial" w:eastAsia="Arial" w:hAnsi="Arial" w:cs="Arial"/>
          <w:sz w:val="22"/>
          <w:szCs w:val="22"/>
        </w:rPr>
      </w:pPr>
    </w:p>
    <w:p w14:paraId="6E9B59E1" w14:textId="77777777" w:rsidR="004A18E2" w:rsidRPr="004A18E2" w:rsidRDefault="004A18E2" w:rsidP="004A18E2">
      <w:pPr>
        <w:spacing w:line="360" w:lineRule="auto"/>
        <w:jc w:val="both"/>
        <w:rPr>
          <w:rFonts w:ascii="Arial" w:eastAsia="Arial" w:hAnsi="Arial" w:cs="Arial"/>
          <w:sz w:val="22"/>
          <w:szCs w:val="22"/>
        </w:rPr>
      </w:pPr>
      <w:r w:rsidRPr="004A18E2">
        <w:rPr>
          <w:rFonts w:ascii="Arial" w:eastAsia="Arial" w:hAnsi="Arial" w:cs="Arial"/>
          <w:sz w:val="22"/>
          <w:szCs w:val="22"/>
        </w:rPr>
        <w:t>En el régimen subsidiado, por su parte, la afiliación pasó de 13.681 usuarios en 2021 a 27.470 en 2025, equivalente a un incremento de 100,79%, lo que indica que el crecimiento acumulado de COOSALUD EPS en Bogotá estuvo impulsado principalmente por este régimen. Sin embargo, al igual que en el contributivo, la evolución no fue completamente estable: después de aumentar de manera importante en 2022, descender en 2023 y alcanzar su punto más alto en 2024 con 28.078 afiliados, en 2025 se observó una reducción a 27.470 usuarios, correspondiente a una disminución de 2,17% frente al año anterior. Aunque esta caída no modifica la tendencia acumulada de crecimiento, sí evidencia una desaceleración reciente en la expansión de la base afiliada.</w:t>
      </w:r>
    </w:p>
    <w:p w14:paraId="58D3FB08" w14:textId="775D912A" w:rsidR="004A18E2" w:rsidRPr="004A18E2" w:rsidRDefault="004A18E2" w:rsidP="004A18E2">
      <w:pPr>
        <w:spacing w:line="360" w:lineRule="auto"/>
        <w:jc w:val="both"/>
        <w:rPr>
          <w:rFonts w:ascii="Arial" w:eastAsia="Arial" w:hAnsi="Arial" w:cs="Arial"/>
          <w:sz w:val="22"/>
          <w:szCs w:val="22"/>
        </w:rPr>
      </w:pPr>
    </w:p>
    <w:p w14:paraId="5C7AA450" w14:textId="296B8917" w:rsidR="005D62BA" w:rsidRDefault="004A18E2" w:rsidP="006C38A8">
      <w:pPr>
        <w:spacing w:line="360" w:lineRule="auto"/>
        <w:jc w:val="both"/>
        <w:rPr>
          <w:rFonts w:ascii="Arial" w:eastAsia="Arial" w:hAnsi="Arial" w:cs="Arial"/>
          <w:sz w:val="22"/>
          <w:szCs w:val="22"/>
        </w:rPr>
      </w:pPr>
      <w:r w:rsidRPr="004A18E2">
        <w:rPr>
          <w:rFonts w:ascii="Arial" w:eastAsia="Arial" w:hAnsi="Arial" w:cs="Arial"/>
          <w:sz w:val="22"/>
          <w:szCs w:val="22"/>
        </w:rPr>
        <w:t>En conjunto, la lectura por régimen confirma lo señalado previamente para el total de afiliados: entre 2021 y 2025 COOSALUD EPS amplió su base de afiliación en Bogotá, al pasar de 18.571 a 34.472 usuarios, con un crecimiento neto de 15.901 afiliados. No obstante, dicho comportamiento estuvo acompañado de fluctuaciones interanuales que reflejan una dinámica variable del aseguramiento, probablemente asociada a traslados entre EPS, novedades en la afiliación, procesos de depuración de bases de datos y cambios en las condiciones de aseguramiento de la población. En este sentido, más que una trayectoria de crecimiento sostenido, la serie muestra una expansión con episodios de ajuste, cuya interpretación debe complementarse con el análisis de los movimientos de la BDUA y de las novedades territoriales del periodo.</w:t>
      </w:r>
    </w:p>
    <w:p w14:paraId="1ED1E3D9" w14:textId="77777777" w:rsidR="004A18E2" w:rsidRPr="006068A2" w:rsidRDefault="004A18E2" w:rsidP="006C38A8">
      <w:pPr>
        <w:spacing w:line="360" w:lineRule="auto"/>
        <w:jc w:val="both"/>
        <w:rPr>
          <w:rFonts w:ascii="Arial" w:eastAsia="Arial" w:hAnsi="Arial" w:cs="Arial"/>
          <w:sz w:val="22"/>
          <w:szCs w:val="22"/>
        </w:rPr>
      </w:pPr>
    </w:p>
    <w:p w14:paraId="7629D465" w14:textId="77777777" w:rsidR="00B170A1" w:rsidRDefault="006C38A8" w:rsidP="006C38A8">
      <w:pPr>
        <w:spacing w:line="360" w:lineRule="auto"/>
        <w:jc w:val="both"/>
        <w:rPr>
          <w:rFonts w:ascii="Arial" w:eastAsia="Arial" w:hAnsi="Arial" w:cs="Arial"/>
          <w:sz w:val="22"/>
          <w:szCs w:val="22"/>
        </w:rPr>
      </w:pPr>
      <w:r w:rsidRPr="006C38A8">
        <w:rPr>
          <w:rFonts w:ascii="Arial" w:eastAsia="Arial" w:hAnsi="Arial" w:cs="Arial"/>
          <w:sz w:val="22"/>
          <w:szCs w:val="22"/>
        </w:rPr>
        <w:lastRenderedPageBreak/>
        <w:t xml:space="preserve">En cuanto a la composición por sexo, la Ilustración 2 evidencia diferencias moderadas entre los dos regímenes de afiliación de COOSALUD EPS en Bogotá D. C. En el régimen subsidiado se observa predominio del sexo femenino, con 14.111 afiliadas, equivalentes al 52,88%, frente a 12.575 afiliados del sexo masculino, correspondientes al 47,12%. Por su parte, en el régimen contributivo el patrón se invierte: predominan los hombres, con 3.410 afiliados (53,50%), mientras que las mujeres representan 2.964 afiliadas (46,50%). </w:t>
      </w:r>
    </w:p>
    <w:p w14:paraId="71AA40BB" w14:textId="77777777" w:rsidR="00B170A1" w:rsidRDefault="00B170A1" w:rsidP="006C38A8">
      <w:pPr>
        <w:spacing w:line="360" w:lineRule="auto"/>
        <w:jc w:val="both"/>
        <w:rPr>
          <w:rFonts w:ascii="Arial" w:eastAsia="Arial" w:hAnsi="Arial" w:cs="Arial"/>
          <w:sz w:val="22"/>
          <w:szCs w:val="22"/>
        </w:rPr>
      </w:pPr>
    </w:p>
    <w:p w14:paraId="7B5CBB3D" w14:textId="3DC60B3F" w:rsidR="006C38A8" w:rsidRPr="006C38A8" w:rsidRDefault="006C38A8" w:rsidP="006C38A8">
      <w:pPr>
        <w:spacing w:line="360" w:lineRule="auto"/>
        <w:jc w:val="both"/>
        <w:rPr>
          <w:rFonts w:ascii="Arial" w:eastAsia="Arial" w:hAnsi="Arial" w:cs="Arial"/>
          <w:sz w:val="22"/>
          <w:szCs w:val="22"/>
        </w:rPr>
      </w:pPr>
      <w:r w:rsidRPr="006C38A8">
        <w:rPr>
          <w:rFonts w:ascii="Arial" w:eastAsia="Arial" w:hAnsi="Arial" w:cs="Arial"/>
          <w:sz w:val="22"/>
          <w:szCs w:val="22"/>
        </w:rPr>
        <w:t>Aunque las brechas por sexo no son amplias, su identificación resulta relevante para orientar acciones de gestión del riesgo, demanda inducida, implementación de RIAS y estrategias de salud pública con mayor pertinencia, de acuerdo con el perfil poblacional de cada régimen.</w:t>
      </w:r>
    </w:p>
    <w:p w14:paraId="2C3E514C" w14:textId="77777777" w:rsidR="00FB3F22" w:rsidRDefault="00FB3F22" w:rsidP="00FB3F22">
      <w:pPr>
        <w:rPr>
          <w:rFonts w:eastAsia="Arial"/>
        </w:rPr>
      </w:pPr>
    </w:p>
    <w:p w14:paraId="0E70D1C4" w14:textId="4CCB20E0" w:rsidR="16C47202" w:rsidRPr="00FB3F22" w:rsidRDefault="009E481B" w:rsidP="00680DED">
      <w:pPr>
        <w:jc w:val="both"/>
        <w:rPr>
          <w:rFonts w:ascii="Arial" w:eastAsia="Arial" w:hAnsi="Arial" w:cs="Arial"/>
          <w:sz w:val="16"/>
          <w:szCs w:val="16"/>
        </w:rPr>
      </w:pPr>
      <w:r>
        <w:rPr>
          <w:rFonts w:ascii="Arial" w:eastAsia="Arial" w:hAnsi="Arial" w:cs="Arial"/>
          <w:i/>
          <w:iCs/>
          <w:noProof/>
          <w:sz w:val="22"/>
          <w:szCs w:val="22"/>
        </w:rPr>
        <mc:AlternateContent>
          <mc:Choice Requires="wpg">
            <w:drawing>
              <wp:anchor distT="0" distB="0" distL="114300" distR="114300" simplePos="0" relativeHeight="251659264" behindDoc="0" locked="0" layoutInCell="1" allowOverlap="1" wp14:anchorId="59769527" wp14:editId="4B188008">
                <wp:simplePos x="0" y="0"/>
                <wp:positionH relativeFrom="column">
                  <wp:posOffset>-3810</wp:posOffset>
                </wp:positionH>
                <wp:positionV relativeFrom="paragraph">
                  <wp:posOffset>262255</wp:posOffset>
                </wp:positionV>
                <wp:extent cx="5495925" cy="3018790"/>
                <wp:effectExtent l="19050" t="19050" r="28575" b="10160"/>
                <wp:wrapThrough wrapText="bothSides">
                  <wp:wrapPolygon edited="0">
                    <wp:start x="10407" y="-136"/>
                    <wp:lineTo x="-75" y="-136"/>
                    <wp:lineTo x="-75" y="21536"/>
                    <wp:lineTo x="21637" y="21536"/>
                    <wp:lineTo x="21637" y="-136"/>
                    <wp:lineTo x="10407" y="-136"/>
                  </wp:wrapPolygon>
                </wp:wrapThrough>
                <wp:docPr id="6" name="Grupo 6"/>
                <wp:cNvGraphicFramePr/>
                <a:graphic xmlns:a="http://schemas.openxmlformats.org/drawingml/2006/main">
                  <a:graphicData uri="http://schemas.microsoft.com/office/word/2010/wordprocessingGroup">
                    <wpg:wgp>
                      <wpg:cNvGrpSpPr/>
                      <wpg:grpSpPr>
                        <a:xfrm>
                          <a:off x="0" y="0"/>
                          <a:ext cx="5495925" cy="3018790"/>
                          <a:chOff x="0" y="0"/>
                          <a:chExt cx="5495925" cy="3018790"/>
                        </a:xfrm>
                      </wpg:grpSpPr>
                      <pic:pic xmlns:pic="http://schemas.openxmlformats.org/drawingml/2006/picture">
                        <pic:nvPicPr>
                          <pic:cNvPr id="617704289" name="drawing"/>
                          <pic:cNvPicPr>
                            <a:picLocks noChangeAspect="1"/>
                          </pic:cNvPicPr>
                        </pic:nvPicPr>
                        <pic:blipFill>
                          <a:blip r:embed="rId17">
                            <a:extLst>
                              <a:ext uri="{BEBA8EAE-BF5A-486C-A8C5-ECC9F3942E4B}">
                                <a14:imgProps xmlns:a14="http://schemas.microsoft.com/office/drawing/2010/main">
                                  <a14:imgLayer r:embed="rId18">
                                    <a14:imgEffect>
                                      <a14:sharpenSoften amount="25000"/>
                                    </a14:imgEffect>
                                  </a14:imgLayer>
                                </a14:imgProps>
                              </a:ext>
                              <a:ext uri="{28A0092B-C50C-407E-A947-70E740481C1C}">
                                <a14:useLocalDpi xmlns:a14="http://schemas.microsoft.com/office/drawing/2010/main" val="0"/>
                              </a:ext>
                            </a:extLst>
                          </a:blip>
                          <a:stretch>
                            <a:fillRect/>
                          </a:stretch>
                        </pic:blipFill>
                        <pic:spPr>
                          <a:xfrm>
                            <a:off x="2695575" y="0"/>
                            <a:ext cx="2800350" cy="3018790"/>
                          </a:xfrm>
                          <a:prstGeom prst="rect">
                            <a:avLst/>
                          </a:prstGeom>
                          <a:ln w="9525">
                            <a:solidFill>
                              <a:schemeClr val="tx1"/>
                            </a:solidFill>
                            <a:prstDash val="solid"/>
                          </a:ln>
                        </pic:spPr>
                      </pic:pic>
                      <pic:pic xmlns:pic="http://schemas.openxmlformats.org/drawingml/2006/picture">
                        <pic:nvPicPr>
                          <pic:cNvPr id="763675194" name="drawing"/>
                          <pic:cNvPicPr>
                            <a:picLocks noChangeAspect="1"/>
                          </pic:cNvPicPr>
                        </pic:nvPicPr>
                        <pic:blipFill>
                          <a:blip r:embed="rId19">
                            <a:extLst>
                              <a:ext uri="{BEBA8EAE-BF5A-486C-A8C5-ECC9F3942E4B}">
                                <a14:imgProps xmlns:a14="http://schemas.microsoft.com/office/drawing/2010/main">
                                  <a14:imgLayer r:embed="rId20">
                                    <a14:imgEffect>
                                      <a14:sharpenSoften amount="25000"/>
                                    </a14:imgEffect>
                                  </a14:imgLayer>
                                </a14:imgProps>
                              </a:ext>
                              <a:ext uri="{28A0092B-C50C-407E-A947-70E740481C1C}">
                                <a14:useLocalDpi xmlns:a14="http://schemas.microsoft.com/office/drawing/2010/main" val="0"/>
                              </a:ext>
                            </a:extLst>
                          </a:blip>
                          <a:stretch>
                            <a:fillRect/>
                          </a:stretch>
                        </pic:blipFill>
                        <pic:spPr>
                          <a:xfrm>
                            <a:off x="0" y="19050"/>
                            <a:ext cx="2693670" cy="2999740"/>
                          </a:xfrm>
                          <a:prstGeom prst="rect">
                            <a:avLst/>
                          </a:prstGeom>
                          <a:ln w="9525">
                            <a:solidFill>
                              <a:schemeClr val="tx1"/>
                            </a:solidFill>
                            <a:prstDash val="solid"/>
                          </a:ln>
                        </pic:spPr>
                      </pic:pic>
                    </wpg:wgp>
                  </a:graphicData>
                </a:graphic>
              </wp:anchor>
            </w:drawing>
          </mc:Choice>
          <mc:Fallback>
            <w:pict>
              <v:group w14:anchorId="3F524DF5" id="Grupo 6" o:spid="_x0000_s1026" style="position:absolute;margin-left:-.3pt;margin-top:20.65pt;width:432.75pt;height:237.7pt;z-index:251659264" coordsize="54959,30187"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rawing" o:spid="_x0000_s1027" type="#_x0000_t75" style="position:absolute;left:26955;width:28004;height:30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" stroked="t" strokecolor="black [3213]">
                  <v:imagedata r:id="rId21" o:title=""/>
                  <v:path arrowok="t"/>
                </v:shape>
                <v:shape id="drawing" o:spid="_x0000_s1028" type="#_x0000_t75" style="position:absolute;top:190;width:26936;height:29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" stroked="t" strokecolor="black [3213]">
                  <v:imagedata r:id="rId22" o:title=""/>
                  <v:path arrowok="t"/>
                </v:shape>
                <w10:wrap type="through"/>
              </v:group>
            </w:pict>
          </mc:Fallback>
        </mc:AlternateContent>
      </w:r>
      <w:r>
        <w:rPr>
          <w:noProof/>
        </w:rPr>
        <mc:AlternateContent>
          <mc:Choice Requires="wps">
            <w:drawing>
              <wp:anchor distT="0" distB="0" distL="114300" distR="114300" simplePos="0" relativeHeight="251661312" behindDoc="0" locked="0" layoutInCell="1" allowOverlap="1" wp14:anchorId="789768A7" wp14:editId="0AC85D95">
                <wp:simplePos x="0" y="0"/>
                <wp:positionH relativeFrom="column">
                  <wp:posOffset>110490</wp:posOffset>
                </wp:positionH>
                <wp:positionV relativeFrom="paragraph">
                  <wp:posOffset>0</wp:posOffset>
                </wp:positionV>
                <wp:extent cx="5495925" cy="635"/>
                <wp:effectExtent l="0" t="0" r="0" b="0"/>
                <wp:wrapThrough wrapText="bothSides">
                  <wp:wrapPolygon edited="0">
                    <wp:start x="0" y="0"/>
                    <wp:lineTo x="0" y="21600"/>
                    <wp:lineTo x="21600" y="21600"/>
                    <wp:lineTo x="21600" y="0"/>
                  </wp:wrapPolygon>
                </wp:wrapThrough>
                <wp:docPr id="7" name="Cuadro de texto 7"/>
                <wp:cNvGraphicFramePr/>
                <a:graphic xmlns:a="http://schemas.openxmlformats.org/drawingml/2006/main">
                  <a:graphicData uri="http://schemas.microsoft.com/office/word/2010/wordprocessingShape">
                    <wps:wsp>
                      <wps:cNvSpPr txBox="1"/>
                      <wps:spPr>
                        <a:xfrm>
                          <a:off x="0" y="0"/>
                          <a:ext cx="5495925" cy="635"/>
                        </a:xfrm>
                        <a:prstGeom prst="rect">
                          <a:avLst/>
                        </a:prstGeom>
                        <a:solidFill>
                          <a:prstClr val="white"/>
                        </a:solidFill>
                        <a:ln>
                          <a:noFill/>
                        </a:ln>
                      </wps:spPr>
                      <wps:txbx>
                        <w:txbxContent>
                          <w:p w14:paraId="4FACE3ED" w14:textId="26BF9C7F" w:rsidR="009E481B" w:rsidRPr="009E481B" w:rsidRDefault="009E481B" w:rsidP="00C733C0">
                            <w:pPr>
                              <w:pStyle w:val="Descripcin"/>
                              <w:jc w:val="both"/>
                              <w:rPr>
                                <w:rFonts w:ascii="Arial" w:eastAsia="Arial" w:hAnsi="Arial" w:cs="Arial"/>
                                <w:i w:val="0"/>
                                <w:iCs w:val="0"/>
                                <w:noProof/>
                                <w:color w:val="auto"/>
                                <w:sz w:val="28"/>
                                <w:szCs w:val="28"/>
                              </w:rPr>
                            </w:pPr>
                            <w:bookmarkStart w:id="11" w:name="_Toc229395920"/>
                            <w:r w:rsidRPr="009E481B">
                              <w:rPr>
                                <w:rFonts w:ascii="Arial" w:hAnsi="Arial" w:cs="Arial"/>
                                <w:i w:val="0"/>
                                <w:iCs w:val="0"/>
                                <w:color w:val="auto"/>
                                <w:sz w:val="22"/>
                                <w:szCs w:val="22"/>
                              </w:rPr>
                              <w:t xml:space="preserve">Ilustración </w:t>
                            </w:r>
                            <w:r w:rsidRPr="009E481B">
                              <w:rPr>
                                <w:rFonts w:ascii="Arial" w:hAnsi="Arial" w:cs="Arial"/>
                                <w:i w:val="0"/>
                                <w:iCs w:val="0"/>
                                <w:color w:val="auto"/>
                                <w:sz w:val="22"/>
                                <w:szCs w:val="22"/>
                              </w:rPr>
                              <w:fldChar w:fldCharType="begin"/>
                            </w:r>
                            <w:r w:rsidRPr="009E481B">
                              <w:rPr>
                                <w:rFonts w:ascii="Arial" w:hAnsi="Arial" w:cs="Arial"/>
                                <w:i w:val="0"/>
                                <w:iCs w:val="0"/>
                                <w:color w:val="auto"/>
                                <w:sz w:val="22"/>
                                <w:szCs w:val="22"/>
                              </w:rPr>
                              <w:instrText xml:space="preserve"> SEQ Ilustración \* ARABIC </w:instrText>
                            </w:r>
                            <w:r w:rsidRPr="009E481B">
                              <w:rPr>
                                <w:rFonts w:ascii="Arial" w:hAnsi="Arial" w:cs="Arial"/>
                                <w:i w:val="0"/>
                                <w:iCs w:val="0"/>
                                <w:color w:val="auto"/>
                                <w:sz w:val="22"/>
                                <w:szCs w:val="22"/>
                              </w:rPr>
                              <w:fldChar w:fldCharType="separate"/>
                            </w:r>
                            <w:r w:rsidRPr="009E481B">
                              <w:rPr>
                                <w:rFonts w:ascii="Arial" w:hAnsi="Arial" w:cs="Arial"/>
                                <w:i w:val="0"/>
                                <w:iCs w:val="0"/>
                                <w:noProof/>
                                <w:color w:val="auto"/>
                                <w:sz w:val="22"/>
                                <w:szCs w:val="22"/>
                              </w:rPr>
                              <w:t>2</w:t>
                            </w:r>
                            <w:r w:rsidRPr="009E481B">
                              <w:rPr>
                                <w:rFonts w:ascii="Arial" w:hAnsi="Arial" w:cs="Arial"/>
                                <w:i w:val="0"/>
                                <w:iCs w:val="0"/>
                                <w:color w:val="auto"/>
                                <w:sz w:val="22"/>
                                <w:szCs w:val="22"/>
                              </w:rPr>
                              <w:fldChar w:fldCharType="end"/>
                            </w:r>
                            <w:r w:rsidRPr="009E481B">
                              <w:rPr>
                                <w:rFonts w:ascii="Arial" w:hAnsi="Arial" w:cs="Arial"/>
                                <w:i w:val="0"/>
                                <w:iCs w:val="0"/>
                                <w:color w:val="auto"/>
                                <w:sz w:val="22"/>
                                <w:szCs w:val="22"/>
                              </w:rPr>
                              <w:t>: Afiliados por edad y género COOSALUD EPS – Bogotá D.C.</w:t>
                            </w:r>
                            <w:bookmarkEnd w:id="11"/>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89768A7" id="_x0000_t202" coordsize="21600,21600" o:spt="202" path="m,l,21600r21600,l21600,xe">
                <v:stroke joinstyle="miter"/>
                <v:path gradientshapeok="t" o:connecttype="rect"/>
              </v:shapetype>
              <v:shape id="Cuadro de texto 7" o:spid="_x0000_s1026" type="#_x0000_t202" style="position:absolute;left:0;text-align:left;margin-left:8.7pt;margin-top:0;width:432.7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" stroked="f">
                <v:textbox style="mso-fit-shape-to-text:t" inset="0,0,0,0">
                  <w:txbxContent>
                    <w:p w14:paraId="4FACE3ED" w14:textId="26BF9C7F" w:rsidR="009E481B" w:rsidRPr="009E481B" w:rsidRDefault="009E481B" w:rsidP="00C733C0">
                      <w:pPr>
                        <w:pStyle w:val="Descripcin"/>
                        <w:jc w:val="both"/>
                        <w:rPr>
                          <w:rFonts w:ascii="Arial" w:eastAsia="Arial" w:hAnsi="Arial" w:cs="Arial"/>
                          <w:i w:val="0"/>
                          <w:iCs w:val="0"/>
                          <w:noProof/>
                          <w:color w:val="auto"/>
                          <w:sz w:val="28"/>
                          <w:szCs w:val="28"/>
                        </w:rPr>
                      </w:pPr>
                      <w:bookmarkStart w:id="12" w:name="_Toc229395920"/>
                      <w:r w:rsidRPr="009E481B">
                        <w:rPr>
                          <w:rFonts w:ascii="Arial" w:hAnsi="Arial" w:cs="Arial"/>
                          <w:i w:val="0"/>
                          <w:iCs w:val="0"/>
                          <w:color w:val="auto"/>
                          <w:sz w:val="22"/>
                          <w:szCs w:val="22"/>
                        </w:rPr>
                        <w:t xml:space="preserve">Ilustración </w:t>
                      </w:r>
                      <w:r w:rsidRPr="009E481B">
                        <w:rPr>
                          <w:rFonts w:ascii="Arial" w:hAnsi="Arial" w:cs="Arial"/>
                          <w:i w:val="0"/>
                          <w:iCs w:val="0"/>
                          <w:color w:val="auto"/>
                          <w:sz w:val="22"/>
                          <w:szCs w:val="22"/>
                        </w:rPr>
                        <w:fldChar w:fldCharType="begin"/>
                      </w:r>
                      <w:r w:rsidRPr="009E481B">
                        <w:rPr>
                          <w:rFonts w:ascii="Arial" w:hAnsi="Arial" w:cs="Arial"/>
                          <w:i w:val="0"/>
                          <w:iCs w:val="0"/>
                          <w:color w:val="auto"/>
                          <w:sz w:val="22"/>
                          <w:szCs w:val="22"/>
                        </w:rPr>
                        <w:instrText xml:space="preserve"> SEQ Ilustración \* ARABIC </w:instrText>
                      </w:r>
                      <w:r w:rsidRPr="009E481B">
                        <w:rPr>
                          <w:rFonts w:ascii="Arial" w:hAnsi="Arial" w:cs="Arial"/>
                          <w:i w:val="0"/>
                          <w:iCs w:val="0"/>
                          <w:color w:val="auto"/>
                          <w:sz w:val="22"/>
                          <w:szCs w:val="22"/>
                        </w:rPr>
                        <w:fldChar w:fldCharType="separate"/>
                      </w:r>
                      <w:r w:rsidRPr="009E481B">
                        <w:rPr>
                          <w:rFonts w:ascii="Arial" w:hAnsi="Arial" w:cs="Arial"/>
                          <w:i w:val="0"/>
                          <w:iCs w:val="0"/>
                          <w:noProof/>
                          <w:color w:val="auto"/>
                          <w:sz w:val="22"/>
                          <w:szCs w:val="22"/>
                        </w:rPr>
                        <w:t>2</w:t>
                      </w:r>
                      <w:r w:rsidRPr="009E481B">
                        <w:rPr>
                          <w:rFonts w:ascii="Arial" w:hAnsi="Arial" w:cs="Arial"/>
                          <w:i w:val="0"/>
                          <w:iCs w:val="0"/>
                          <w:color w:val="auto"/>
                          <w:sz w:val="22"/>
                          <w:szCs w:val="22"/>
                        </w:rPr>
                        <w:fldChar w:fldCharType="end"/>
                      </w:r>
                      <w:r w:rsidRPr="009E481B">
                        <w:rPr>
                          <w:rFonts w:ascii="Arial" w:hAnsi="Arial" w:cs="Arial"/>
                          <w:i w:val="0"/>
                          <w:iCs w:val="0"/>
                          <w:color w:val="auto"/>
                          <w:sz w:val="22"/>
                          <w:szCs w:val="22"/>
                        </w:rPr>
                        <w:t>: Afiliados por edad y género COOSALUD EPS – Bogotá D.C.</w:t>
                      </w:r>
                      <w:bookmarkEnd w:id="12"/>
                    </w:p>
                  </w:txbxContent>
                </v:textbox>
                <w10:wrap type="through"/>
              </v:shape>
            </w:pict>
          </mc:Fallback>
        </mc:AlternateContent>
      </w:r>
      <w:r w:rsidR="16C47202" w:rsidRPr="00FB3F22">
        <w:rPr>
          <w:rFonts w:ascii="Arial" w:eastAsia="Arial" w:hAnsi="Arial" w:cs="Arial"/>
          <w:sz w:val="16"/>
          <w:szCs w:val="16"/>
        </w:rPr>
        <w:t>Fuentes: Ministerio de Salud y Protección Social. Cifras de afiliación en salud, corte a 0</w:t>
      </w:r>
      <w:r w:rsidR="56C3FA53" w:rsidRPr="00FB3F22">
        <w:rPr>
          <w:rFonts w:ascii="Arial" w:eastAsia="Arial" w:hAnsi="Arial" w:cs="Arial"/>
          <w:sz w:val="16"/>
          <w:szCs w:val="16"/>
        </w:rPr>
        <w:t>2</w:t>
      </w:r>
      <w:r w:rsidR="16C47202" w:rsidRPr="00FB3F22">
        <w:rPr>
          <w:rFonts w:ascii="Arial" w:eastAsia="Arial" w:hAnsi="Arial" w:cs="Arial"/>
          <w:sz w:val="16"/>
          <w:szCs w:val="16"/>
        </w:rPr>
        <w:t xml:space="preserve">-2026. </w:t>
      </w:r>
      <w:hyperlink r:id="rId23">
        <w:r w:rsidR="16C47202" w:rsidRPr="00FB3F22">
          <w:rPr>
            <w:rStyle w:val="Hipervnculo"/>
            <w:rFonts w:ascii="Arial" w:eastAsia="Arial" w:hAnsi="Arial" w:cs="Arial"/>
            <w:color w:val="auto"/>
            <w:sz w:val="16"/>
            <w:szCs w:val="16"/>
          </w:rPr>
          <w:t>https://www.minsalud.gov.co/proteccionsocial/paginas/cifras-aseguramiento-salud.aspx</w:t>
        </w:r>
      </w:hyperlink>
      <w:r w:rsidR="16C47202" w:rsidRPr="00FB3F22">
        <w:rPr>
          <w:rFonts w:ascii="Arial" w:eastAsia="Arial" w:hAnsi="Arial" w:cs="Arial"/>
          <w:sz w:val="16"/>
          <w:szCs w:val="16"/>
        </w:rPr>
        <w:t xml:space="preserve"> </w:t>
      </w:r>
    </w:p>
    <w:p w14:paraId="3294CC60" w14:textId="5662C7C7" w:rsidR="2B213312" w:rsidRPr="008E5221" w:rsidRDefault="2B213312" w:rsidP="008E5221">
      <w:pPr>
        <w:spacing w:line="360" w:lineRule="auto"/>
        <w:jc w:val="both"/>
        <w:rPr>
          <w:rFonts w:ascii="Arial" w:eastAsia="Arial" w:hAnsi="Arial" w:cs="Arial"/>
          <w:sz w:val="22"/>
          <w:szCs w:val="22"/>
        </w:rPr>
      </w:pPr>
    </w:p>
    <w:p w14:paraId="497FA6B5" w14:textId="77777777" w:rsidR="002E1439" w:rsidRPr="006C38A8" w:rsidRDefault="002E1439" w:rsidP="002E1439">
      <w:pPr>
        <w:spacing w:line="360" w:lineRule="auto"/>
        <w:jc w:val="both"/>
        <w:rPr>
          <w:rFonts w:ascii="Arial" w:eastAsia="Arial" w:hAnsi="Arial" w:cs="Arial"/>
          <w:sz w:val="22"/>
          <w:szCs w:val="22"/>
        </w:rPr>
      </w:pPr>
    </w:p>
    <w:p w14:paraId="412B57A1" w14:textId="77777777" w:rsidR="002E1439" w:rsidRDefault="002E1439" w:rsidP="002E1439">
      <w:pPr>
        <w:spacing w:line="360" w:lineRule="auto"/>
        <w:jc w:val="both"/>
        <w:rPr>
          <w:rFonts w:eastAsia="Arial"/>
        </w:rPr>
      </w:pPr>
      <w:r w:rsidRPr="006C38A8">
        <w:rPr>
          <w:rFonts w:ascii="Arial" w:eastAsia="Arial" w:hAnsi="Arial" w:cs="Arial"/>
          <w:sz w:val="22"/>
          <w:szCs w:val="22"/>
        </w:rPr>
        <w:t xml:space="preserve">Asimismo, la distribución por edad muestra que, tanto en el régimen subsidiado como en el contributivo, el grupo quinquenal con mayor concentración de afiliados corresponde al rango de 25 a 29 años. En el subsidiado este grupo reúne 2.674 afiliados, mientras que en el contributivo concentra 1.108 afiliados, lo que confirma una composición poblacional </w:t>
      </w:r>
      <w:r w:rsidRPr="006C38A8">
        <w:rPr>
          <w:rFonts w:ascii="Arial" w:eastAsia="Arial" w:hAnsi="Arial" w:cs="Arial"/>
          <w:sz w:val="22"/>
          <w:szCs w:val="22"/>
        </w:rPr>
        <w:lastRenderedPageBreak/>
        <w:t>predominantemente joven-adulta. Este patrón sugiere la necesidad de fortalecer intervenciones orientadas a promoción de la salud, prevención temprana, detección oportuna de riesgos y adopción de estilos de vida saludables, sin perder de vista que también existen grupos de mayor edad que demandan seguimiento clínico, continuidad en la atención y abordaje oportuno de condiciones crónicas.</w:t>
      </w:r>
    </w:p>
    <w:p w14:paraId="02836E65" w14:textId="7463462D" w:rsidR="0FA2B586" w:rsidRPr="008E5221" w:rsidRDefault="0FA2B586" w:rsidP="008E5221">
      <w:pPr>
        <w:spacing w:line="360" w:lineRule="auto"/>
        <w:jc w:val="both"/>
        <w:rPr>
          <w:rFonts w:ascii="Arial" w:eastAsia="Arial" w:hAnsi="Arial" w:cs="Arial"/>
          <w:color w:val="EE0000"/>
          <w:sz w:val="22"/>
          <w:szCs w:val="22"/>
        </w:rPr>
      </w:pPr>
    </w:p>
    <w:p w14:paraId="5A03AB93" w14:textId="586DAADF" w:rsidR="27918249" w:rsidRPr="006068A2" w:rsidRDefault="1B82D134"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Teniendo en cuenta que la ciudad de Bogotá soporta la red contratada de media y alta complejidad de los municipios circunvecinos, entre ellos, Soacha, Chía, Funza, Mosquera, </w:t>
      </w:r>
      <w:r w:rsidR="1EE961B0" w:rsidRPr="006068A2">
        <w:rPr>
          <w:rFonts w:ascii="Arial" w:eastAsia="Arial" w:hAnsi="Arial" w:cs="Arial"/>
          <w:sz w:val="22"/>
          <w:szCs w:val="22"/>
        </w:rPr>
        <w:t xml:space="preserve">y </w:t>
      </w:r>
      <w:r w:rsidRPr="006068A2">
        <w:rPr>
          <w:rFonts w:ascii="Arial" w:eastAsia="Arial" w:hAnsi="Arial" w:cs="Arial"/>
          <w:sz w:val="22"/>
          <w:szCs w:val="22"/>
        </w:rPr>
        <w:t xml:space="preserve">Madrid; a continuación, se detalla la población afiliada de dichos municipios a </w:t>
      </w:r>
      <w:r w:rsidR="00714F6A" w:rsidRPr="006068A2">
        <w:rPr>
          <w:rFonts w:ascii="Arial" w:eastAsia="Arial" w:hAnsi="Arial" w:cs="Arial"/>
          <w:sz w:val="22"/>
          <w:szCs w:val="22"/>
        </w:rPr>
        <w:t>EPS COOSALUD</w:t>
      </w:r>
      <w:r w:rsidRPr="006068A2">
        <w:rPr>
          <w:rFonts w:ascii="Arial" w:eastAsia="Arial" w:hAnsi="Arial" w:cs="Arial"/>
          <w:sz w:val="22"/>
          <w:szCs w:val="22"/>
        </w:rPr>
        <w:t xml:space="preserve"> por los dos regímenes, entre 2021 a 2025, así:</w:t>
      </w:r>
    </w:p>
    <w:p w14:paraId="49527FDA" w14:textId="77777777" w:rsidR="00213F66" w:rsidRPr="006068A2" w:rsidRDefault="00213F66" w:rsidP="006068A2">
      <w:pPr>
        <w:spacing w:line="360" w:lineRule="auto"/>
        <w:jc w:val="both"/>
        <w:rPr>
          <w:rFonts w:ascii="Arial" w:hAnsi="Arial" w:cs="Arial"/>
          <w:sz w:val="22"/>
          <w:szCs w:val="22"/>
        </w:rPr>
      </w:pPr>
    </w:p>
    <w:p w14:paraId="59649867" w14:textId="77777777" w:rsidR="00213F66" w:rsidRPr="006068A2" w:rsidRDefault="00213F66" w:rsidP="006068A2">
      <w:pPr>
        <w:spacing w:line="360" w:lineRule="auto"/>
        <w:jc w:val="both"/>
        <w:rPr>
          <w:rFonts w:ascii="Arial" w:hAnsi="Arial" w:cs="Arial"/>
          <w:sz w:val="22"/>
          <w:szCs w:val="22"/>
        </w:rPr>
      </w:pPr>
    </w:p>
    <w:p w14:paraId="2B3C7031" w14:textId="7339811C" w:rsidR="32BFC104" w:rsidRPr="006068A2" w:rsidRDefault="00B11D92" w:rsidP="003F3C8F">
      <w:pPr>
        <w:pStyle w:val="Descripcin"/>
        <w:spacing w:after="0" w:line="360" w:lineRule="auto"/>
        <w:jc w:val="both"/>
        <w:rPr>
          <w:rFonts w:ascii="Arial" w:eastAsia="Arial" w:hAnsi="Arial" w:cs="Arial"/>
          <w:i w:val="0"/>
          <w:iCs w:val="0"/>
          <w:color w:val="auto"/>
          <w:sz w:val="22"/>
          <w:szCs w:val="22"/>
        </w:rPr>
      </w:pPr>
      <w:bookmarkStart w:id="13" w:name="_Toc229395861"/>
      <w:r w:rsidRPr="006068A2">
        <w:rPr>
          <w:rFonts w:ascii="Arial" w:eastAsia="Arial" w:hAnsi="Arial" w:cs="Arial"/>
          <w:i w:val="0"/>
          <w:iCs w:val="0"/>
          <w:color w:val="auto"/>
          <w:sz w:val="22"/>
          <w:szCs w:val="22"/>
        </w:rPr>
        <w:t xml:space="preserve">Tabla </w:t>
      </w:r>
      <w:r w:rsidRPr="006068A2">
        <w:rPr>
          <w:rFonts w:ascii="Arial" w:eastAsia="Arial" w:hAnsi="Arial" w:cs="Arial"/>
          <w:i w:val="0"/>
          <w:iCs w:val="0"/>
          <w:color w:val="auto"/>
          <w:sz w:val="22"/>
          <w:szCs w:val="22"/>
        </w:rPr>
        <w:fldChar w:fldCharType="begin"/>
      </w:r>
      <w:r w:rsidRPr="006068A2">
        <w:rPr>
          <w:rFonts w:ascii="Arial" w:eastAsia="Arial" w:hAnsi="Arial" w:cs="Arial"/>
          <w:i w:val="0"/>
          <w:iCs w:val="0"/>
          <w:color w:val="auto"/>
          <w:sz w:val="22"/>
          <w:szCs w:val="22"/>
        </w:rPr>
        <w:instrText xml:space="preserve"> SEQ Tabla \* ARABIC </w:instrText>
      </w:r>
      <w:r w:rsidRPr="006068A2">
        <w:rPr>
          <w:rFonts w:ascii="Arial" w:eastAsia="Arial" w:hAnsi="Arial" w:cs="Arial"/>
          <w:i w:val="0"/>
          <w:iCs w:val="0"/>
          <w:color w:val="auto"/>
          <w:sz w:val="22"/>
          <w:szCs w:val="22"/>
        </w:rPr>
        <w:fldChar w:fldCharType="separate"/>
      </w:r>
      <w:r w:rsidR="00CB6C8D">
        <w:rPr>
          <w:rFonts w:ascii="Arial" w:eastAsia="Arial" w:hAnsi="Arial" w:cs="Arial"/>
          <w:i w:val="0"/>
          <w:iCs w:val="0"/>
          <w:noProof/>
          <w:color w:val="auto"/>
          <w:sz w:val="22"/>
          <w:szCs w:val="22"/>
        </w:rPr>
        <w:t>4</w:t>
      </w:r>
      <w:r w:rsidRPr="006068A2">
        <w:rPr>
          <w:rFonts w:ascii="Arial" w:eastAsia="Arial" w:hAnsi="Arial" w:cs="Arial"/>
          <w:i w:val="0"/>
          <w:iCs w:val="0"/>
          <w:color w:val="auto"/>
          <w:sz w:val="22"/>
          <w:szCs w:val="22"/>
        </w:rPr>
        <w:fldChar w:fldCharType="end"/>
      </w:r>
      <w:r w:rsidRPr="006068A2">
        <w:rPr>
          <w:rFonts w:ascii="Arial" w:eastAsia="Arial" w:hAnsi="Arial" w:cs="Arial"/>
          <w:i w:val="0"/>
          <w:iCs w:val="0"/>
          <w:color w:val="auto"/>
          <w:sz w:val="22"/>
          <w:szCs w:val="22"/>
        </w:rPr>
        <w:t>. Afiliados COOSALUD EPS municipios circunvecinos por régimen 2021-2025</w:t>
      </w:r>
      <w:bookmarkEnd w:id="13"/>
    </w:p>
    <w:tbl>
      <w:tblPr>
        <w:tblStyle w:val="Tablaconcuadrcula"/>
        <w:tblW w:w="9808" w:type="dxa"/>
        <w:jc w:val="center"/>
        <w:tblLook w:val="06A0" w:firstRow="1" w:lastRow="0" w:firstColumn="1" w:lastColumn="0" w:noHBand="1" w:noVBand="1"/>
      </w:tblPr>
      <w:tblGrid>
        <w:gridCol w:w="1244"/>
        <w:gridCol w:w="889"/>
        <w:gridCol w:w="850"/>
        <w:gridCol w:w="889"/>
        <w:gridCol w:w="806"/>
        <w:gridCol w:w="889"/>
        <w:gridCol w:w="781"/>
        <w:gridCol w:w="903"/>
        <w:gridCol w:w="857"/>
        <w:gridCol w:w="889"/>
        <w:gridCol w:w="811"/>
      </w:tblGrid>
      <w:tr w:rsidR="00E10AB9" w:rsidRPr="006068A2" w14:paraId="4E7A1913" w14:textId="77777777" w:rsidTr="003B379E">
        <w:trPr>
          <w:trHeight w:val="325"/>
          <w:jc w:val="center"/>
        </w:trPr>
        <w:tc>
          <w:tcPr>
            <w:tcW w:w="1167" w:type="dxa"/>
            <w:vMerge w:val="restart"/>
            <w:vAlign w:val="center"/>
          </w:tcPr>
          <w:p w14:paraId="3C6F5F60" w14:textId="79E1B30F"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Municipio</w:t>
            </w:r>
          </w:p>
        </w:tc>
        <w:tc>
          <w:tcPr>
            <w:tcW w:w="1753" w:type="dxa"/>
            <w:gridSpan w:val="2"/>
            <w:vAlign w:val="center"/>
          </w:tcPr>
          <w:p w14:paraId="0D203B69" w14:textId="7613FDF9"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2021</w:t>
            </w:r>
          </w:p>
        </w:tc>
        <w:tc>
          <w:tcPr>
            <w:tcW w:w="1711" w:type="dxa"/>
            <w:gridSpan w:val="2"/>
            <w:vAlign w:val="center"/>
          </w:tcPr>
          <w:p w14:paraId="6796B17B" w14:textId="5E21A47C"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2022</w:t>
            </w:r>
          </w:p>
        </w:tc>
        <w:tc>
          <w:tcPr>
            <w:tcW w:w="1625" w:type="dxa"/>
            <w:gridSpan w:val="2"/>
            <w:vAlign w:val="center"/>
          </w:tcPr>
          <w:p w14:paraId="3C80220D" w14:textId="797CAF78"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2023</w:t>
            </w:r>
          </w:p>
        </w:tc>
        <w:tc>
          <w:tcPr>
            <w:tcW w:w="1880" w:type="dxa"/>
            <w:gridSpan w:val="2"/>
            <w:vAlign w:val="center"/>
          </w:tcPr>
          <w:p w14:paraId="1E1421B4" w14:textId="06D5417F"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2024</w:t>
            </w:r>
          </w:p>
        </w:tc>
        <w:tc>
          <w:tcPr>
            <w:tcW w:w="1672" w:type="dxa"/>
            <w:gridSpan w:val="2"/>
            <w:vAlign w:val="center"/>
          </w:tcPr>
          <w:p w14:paraId="53DD18A8" w14:textId="44ED9F25"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2025</w:t>
            </w:r>
          </w:p>
        </w:tc>
      </w:tr>
      <w:tr w:rsidR="00EF4BE6" w:rsidRPr="006068A2" w14:paraId="746F36E0" w14:textId="77777777" w:rsidTr="003B379E">
        <w:trPr>
          <w:trHeight w:val="571"/>
          <w:jc w:val="center"/>
        </w:trPr>
        <w:tc>
          <w:tcPr>
            <w:tcW w:w="1167" w:type="dxa"/>
            <w:vMerge/>
            <w:vAlign w:val="center"/>
          </w:tcPr>
          <w:p w14:paraId="757E2A18" w14:textId="77777777" w:rsidR="00201941" w:rsidRPr="006068A2" w:rsidRDefault="00201941" w:rsidP="006068A2">
            <w:pPr>
              <w:spacing w:line="360" w:lineRule="auto"/>
              <w:jc w:val="center"/>
              <w:rPr>
                <w:rFonts w:ascii="Arial" w:hAnsi="Arial" w:cs="Arial"/>
                <w:color w:val="EE0000"/>
                <w:sz w:val="22"/>
                <w:szCs w:val="22"/>
              </w:rPr>
            </w:pPr>
          </w:p>
        </w:tc>
        <w:tc>
          <w:tcPr>
            <w:tcW w:w="811" w:type="dxa"/>
            <w:vAlign w:val="center"/>
          </w:tcPr>
          <w:p w14:paraId="5E1709D2" w14:textId="77D284C0"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7B96D4C3" w:rsidRPr="006068A2">
              <w:rPr>
                <w:rFonts w:ascii="Arial" w:eastAsia="Arial" w:hAnsi="Arial" w:cs="Arial"/>
                <w:b/>
                <w:bCs/>
                <w:sz w:val="22"/>
                <w:szCs w:val="22"/>
              </w:rPr>
              <w:t>.</w:t>
            </w:r>
            <w:r w:rsidRPr="006068A2">
              <w:rPr>
                <w:rFonts w:ascii="Arial" w:eastAsia="Arial" w:hAnsi="Arial" w:cs="Arial"/>
                <w:b/>
                <w:bCs/>
                <w:sz w:val="22"/>
                <w:szCs w:val="22"/>
              </w:rPr>
              <w:t xml:space="preserve"> Subs.</w:t>
            </w:r>
          </w:p>
        </w:tc>
        <w:tc>
          <w:tcPr>
            <w:tcW w:w="942" w:type="dxa"/>
            <w:vAlign w:val="center"/>
          </w:tcPr>
          <w:p w14:paraId="3CA97372" w14:textId="2734A18A" w:rsidR="7551437A" w:rsidRPr="006068A2" w:rsidRDefault="7551437A" w:rsidP="006068A2">
            <w:pPr>
              <w:spacing w:line="360" w:lineRule="auto"/>
              <w:jc w:val="center"/>
              <w:rPr>
                <w:rFonts w:ascii="Arial" w:eastAsia="Arial" w:hAnsi="Arial" w:cs="Arial"/>
                <w:b/>
                <w:bCs/>
                <w:sz w:val="22"/>
                <w:szCs w:val="22"/>
              </w:rPr>
            </w:pPr>
            <w:r w:rsidRPr="006068A2">
              <w:rPr>
                <w:rFonts w:ascii="Arial" w:eastAsia="Arial" w:hAnsi="Arial" w:cs="Arial"/>
                <w:b/>
                <w:bCs/>
                <w:sz w:val="22"/>
                <w:szCs w:val="22"/>
              </w:rPr>
              <w:t>Rég</w:t>
            </w:r>
            <w:r w:rsidR="7DD90F54" w:rsidRPr="006068A2">
              <w:rPr>
                <w:rFonts w:ascii="Arial" w:eastAsia="Arial" w:hAnsi="Arial" w:cs="Arial"/>
                <w:b/>
                <w:bCs/>
                <w:sz w:val="22"/>
                <w:szCs w:val="22"/>
              </w:rPr>
              <w:t xml:space="preserve">. </w:t>
            </w:r>
            <w:r w:rsidRPr="006068A2">
              <w:rPr>
                <w:rFonts w:ascii="Arial" w:eastAsia="Arial" w:hAnsi="Arial" w:cs="Arial"/>
                <w:b/>
                <w:bCs/>
                <w:sz w:val="22"/>
                <w:szCs w:val="22"/>
              </w:rPr>
              <w:t>Cont</w:t>
            </w:r>
            <w:r w:rsidR="30AA3B13" w:rsidRPr="006068A2">
              <w:rPr>
                <w:rFonts w:ascii="Arial" w:eastAsia="Arial" w:hAnsi="Arial" w:cs="Arial"/>
                <w:b/>
                <w:bCs/>
                <w:sz w:val="22"/>
                <w:szCs w:val="22"/>
              </w:rPr>
              <w:t>.</w:t>
            </w:r>
          </w:p>
        </w:tc>
        <w:tc>
          <w:tcPr>
            <w:tcW w:w="869" w:type="dxa"/>
            <w:vAlign w:val="center"/>
          </w:tcPr>
          <w:p w14:paraId="298CB356" w14:textId="0DF6206A"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2E84AD45"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Subs.</w:t>
            </w:r>
          </w:p>
        </w:tc>
        <w:tc>
          <w:tcPr>
            <w:tcW w:w="842" w:type="dxa"/>
            <w:vAlign w:val="center"/>
          </w:tcPr>
          <w:p w14:paraId="3945D206" w14:textId="1398F214"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2F1F2948" w:rsidRPr="006068A2">
              <w:rPr>
                <w:rFonts w:ascii="Arial" w:eastAsia="Arial" w:hAnsi="Arial" w:cs="Arial"/>
                <w:b/>
                <w:bCs/>
                <w:sz w:val="22"/>
                <w:szCs w:val="22"/>
              </w:rPr>
              <w:t>.</w:t>
            </w:r>
            <w:r w:rsidRPr="006068A2">
              <w:rPr>
                <w:rFonts w:ascii="Arial" w:eastAsia="Arial" w:hAnsi="Arial" w:cs="Arial"/>
                <w:b/>
                <w:bCs/>
                <w:sz w:val="22"/>
                <w:szCs w:val="22"/>
              </w:rPr>
              <w:t xml:space="preserve"> Cont.</w:t>
            </w:r>
          </w:p>
        </w:tc>
        <w:tc>
          <w:tcPr>
            <w:tcW w:w="841" w:type="dxa"/>
            <w:vAlign w:val="center"/>
          </w:tcPr>
          <w:p w14:paraId="069A4244" w14:textId="2628C57D"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w:t>
            </w:r>
            <w:r w:rsidR="6CBEDB7C" w:rsidRPr="006068A2">
              <w:rPr>
                <w:rFonts w:ascii="Arial" w:eastAsia="Arial" w:hAnsi="Arial" w:cs="Arial"/>
                <w:b/>
                <w:bCs/>
                <w:sz w:val="22"/>
                <w:szCs w:val="22"/>
              </w:rPr>
              <w:t xml:space="preserve">g. </w:t>
            </w:r>
            <w:r w:rsidRPr="006068A2">
              <w:rPr>
                <w:rFonts w:ascii="Arial" w:eastAsia="Arial" w:hAnsi="Arial" w:cs="Arial"/>
                <w:b/>
                <w:bCs/>
                <w:sz w:val="22"/>
                <w:szCs w:val="22"/>
              </w:rPr>
              <w:t xml:space="preserve"> Subs.</w:t>
            </w:r>
          </w:p>
        </w:tc>
        <w:tc>
          <w:tcPr>
            <w:tcW w:w="784" w:type="dxa"/>
            <w:vAlign w:val="center"/>
          </w:tcPr>
          <w:p w14:paraId="6772815A" w14:textId="55DA31A1" w:rsidR="7551437A" w:rsidRPr="006068A2" w:rsidRDefault="7551437A" w:rsidP="006068A2">
            <w:pPr>
              <w:spacing w:line="360" w:lineRule="auto"/>
              <w:jc w:val="center"/>
              <w:rPr>
                <w:rFonts w:ascii="Arial" w:eastAsia="Arial" w:hAnsi="Arial" w:cs="Arial"/>
                <w:b/>
                <w:bCs/>
                <w:sz w:val="22"/>
                <w:szCs w:val="22"/>
              </w:rPr>
            </w:pPr>
            <w:r w:rsidRPr="006068A2">
              <w:rPr>
                <w:rFonts w:ascii="Arial" w:eastAsia="Arial" w:hAnsi="Arial" w:cs="Arial"/>
                <w:b/>
                <w:bCs/>
                <w:sz w:val="22"/>
                <w:szCs w:val="22"/>
              </w:rPr>
              <w:t>Rég</w:t>
            </w:r>
            <w:r w:rsidR="60A86A34"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Con</w:t>
            </w:r>
            <w:r w:rsidR="226AC6D7" w:rsidRPr="006068A2">
              <w:rPr>
                <w:rFonts w:ascii="Arial" w:eastAsia="Arial" w:hAnsi="Arial" w:cs="Arial"/>
                <w:b/>
                <w:bCs/>
                <w:sz w:val="22"/>
                <w:szCs w:val="22"/>
              </w:rPr>
              <w:t>t.</w:t>
            </w:r>
          </w:p>
        </w:tc>
        <w:tc>
          <w:tcPr>
            <w:tcW w:w="922" w:type="dxa"/>
            <w:vAlign w:val="center"/>
          </w:tcPr>
          <w:p w14:paraId="4CE6229C" w14:textId="7F5986F2" w:rsidR="7551437A" w:rsidRPr="006068A2" w:rsidRDefault="7551437A" w:rsidP="006068A2">
            <w:pPr>
              <w:spacing w:line="360" w:lineRule="auto"/>
              <w:jc w:val="center"/>
              <w:rPr>
                <w:rFonts w:ascii="Arial" w:eastAsia="Arial" w:hAnsi="Arial" w:cs="Arial"/>
                <w:b/>
                <w:bCs/>
                <w:sz w:val="22"/>
                <w:szCs w:val="22"/>
              </w:rPr>
            </w:pPr>
            <w:r w:rsidRPr="006068A2">
              <w:rPr>
                <w:rFonts w:ascii="Arial" w:eastAsia="Arial" w:hAnsi="Arial" w:cs="Arial"/>
                <w:b/>
                <w:bCs/>
                <w:sz w:val="22"/>
                <w:szCs w:val="22"/>
              </w:rPr>
              <w:t>Rég</w:t>
            </w:r>
            <w:r w:rsidR="0C34D95D"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Subs</w:t>
            </w:r>
            <w:r w:rsidR="251EE0CB" w:rsidRPr="006068A2">
              <w:rPr>
                <w:rFonts w:ascii="Arial" w:eastAsia="Arial" w:hAnsi="Arial" w:cs="Arial"/>
                <w:b/>
                <w:bCs/>
                <w:sz w:val="22"/>
                <w:szCs w:val="22"/>
              </w:rPr>
              <w:t>.</w:t>
            </w:r>
          </w:p>
        </w:tc>
        <w:tc>
          <w:tcPr>
            <w:tcW w:w="957" w:type="dxa"/>
            <w:vAlign w:val="center"/>
          </w:tcPr>
          <w:p w14:paraId="173D0B1F" w14:textId="63C3B5DE"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0C98A7D8"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Cont.</w:t>
            </w:r>
          </w:p>
        </w:tc>
        <w:tc>
          <w:tcPr>
            <w:tcW w:w="820" w:type="dxa"/>
            <w:vAlign w:val="center"/>
          </w:tcPr>
          <w:p w14:paraId="2425F842" w14:textId="40050341"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487201A2" w:rsidRPr="006068A2">
              <w:rPr>
                <w:rFonts w:ascii="Arial" w:eastAsia="Arial" w:hAnsi="Arial" w:cs="Arial"/>
                <w:b/>
                <w:bCs/>
                <w:sz w:val="22"/>
                <w:szCs w:val="22"/>
              </w:rPr>
              <w:t xml:space="preserve">. </w:t>
            </w:r>
            <w:r w:rsidRPr="006068A2">
              <w:rPr>
                <w:rFonts w:ascii="Arial" w:eastAsia="Arial" w:hAnsi="Arial" w:cs="Arial"/>
                <w:b/>
                <w:bCs/>
                <w:sz w:val="22"/>
                <w:szCs w:val="22"/>
              </w:rPr>
              <w:t xml:space="preserve"> Subs.</w:t>
            </w:r>
          </w:p>
        </w:tc>
        <w:tc>
          <w:tcPr>
            <w:tcW w:w="852" w:type="dxa"/>
            <w:vAlign w:val="center"/>
          </w:tcPr>
          <w:p w14:paraId="0B48962B" w14:textId="3F7EA002" w:rsidR="7551437A" w:rsidRPr="006068A2" w:rsidRDefault="7551437A" w:rsidP="006068A2">
            <w:pPr>
              <w:spacing w:line="360" w:lineRule="auto"/>
              <w:jc w:val="center"/>
              <w:rPr>
                <w:rFonts w:ascii="Arial" w:hAnsi="Arial" w:cs="Arial"/>
                <w:sz w:val="22"/>
                <w:szCs w:val="22"/>
              </w:rPr>
            </w:pPr>
            <w:r w:rsidRPr="006068A2">
              <w:rPr>
                <w:rFonts w:ascii="Arial" w:eastAsia="Arial" w:hAnsi="Arial" w:cs="Arial"/>
                <w:b/>
                <w:bCs/>
                <w:sz w:val="22"/>
                <w:szCs w:val="22"/>
              </w:rPr>
              <w:t>Rég</w:t>
            </w:r>
            <w:r w:rsidR="29D5D132" w:rsidRPr="006068A2">
              <w:rPr>
                <w:rFonts w:ascii="Arial" w:eastAsia="Arial" w:hAnsi="Arial" w:cs="Arial"/>
                <w:b/>
                <w:bCs/>
                <w:sz w:val="22"/>
                <w:szCs w:val="22"/>
              </w:rPr>
              <w:t>.</w:t>
            </w:r>
            <w:r w:rsidRPr="006068A2">
              <w:rPr>
                <w:rFonts w:ascii="Arial" w:eastAsia="Arial" w:hAnsi="Arial" w:cs="Arial"/>
                <w:b/>
                <w:bCs/>
                <w:sz w:val="22"/>
                <w:szCs w:val="22"/>
              </w:rPr>
              <w:t xml:space="preserve"> Cont.</w:t>
            </w:r>
          </w:p>
        </w:tc>
      </w:tr>
      <w:tr w:rsidR="00EF4BE6" w:rsidRPr="006068A2" w14:paraId="2791AB03" w14:textId="77777777" w:rsidTr="003B379E">
        <w:trPr>
          <w:trHeight w:val="342"/>
          <w:jc w:val="center"/>
        </w:trPr>
        <w:tc>
          <w:tcPr>
            <w:tcW w:w="1167" w:type="dxa"/>
            <w:vAlign w:val="center"/>
          </w:tcPr>
          <w:p w14:paraId="6A7ED78E" w14:textId="5347455B"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Soacha</w:t>
            </w:r>
          </w:p>
        </w:tc>
        <w:tc>
          <w:tcPr>
            <w:tcW w:w="811" w:type="dxa"/>
            <w:vAlign w:val="center"/>
          </w:tcPr>
          <w:p w14:paraId="7E0123E0" w14:textId="5C40335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24.235</w:t>
            </w:r>
          </w:p>
        </w:tc>
        <w:tc>
          <w:tcPr>
            <w:tcW w:w="942" w:type="dxa"/>
            <w:vAlign w:val="center"/>
          </w:tcPr>
          <w:p w14:paraId="4B1F859E" w14:textId="7991C7D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2.103</w:t>
            </w:r>
          </w:p>
        </w:tc>
        <w:tc>
          <w:tcPr>
            <w:tcW w:w="869" w:type="dxa"/>
            <w:vAlign w:val="center"/>
          </w:tcPr>
          <w:p w14:paraId="756A153D" w14:textId="7172E7B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28.401</w:t>
            </w:r>
          </w:p>
        </w:tc>
        <w:tc>
          <w:tcPr>
            <w:tcW w:w="842" w:type="dxa"/>
            <w:vAlign w:val="center"/>
          </w:tcPr>
          <w:p w14:paraId="0F961121" w14:textId="73AA8B77"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1.941</w:t>
            </w:r>
          </w:p>
        </w:tc>
        <w:tc>
          <w:tcPr>
            <w:tcW w:w="841" w:type="dxa"/>
            <w:vAlign w:val="center"/>
          </w:tcPr>
          <w:p w14:paraId="7B421195" w14:textId="1C3F9BB7"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30.893</w:t>
            </w:r>
          </w:p>
        </w:tc>
        <w:tc>
          <w:tcPr>
            <w:tcW w:w="784" w:type="dxa"/>
            <w:vAlign w:val="center"/>
          </w:tcPr>
          <w:p w14:paraId="0653F3BD" w14:textId="123FB71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2.285</w:t>
            </w:r>
          </w:p>
        </w:tc>
        <w:tc>
          <w:tcPr>
            <w:tcW w:w="922" w:type="dxa"/>
            <w:vAlign w:val="center"/>
          </w:tcPr>
          <w:p w14:paraId="7D4EA6AF" w14:textId="75D791BA"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31.076</w:t>
            </w:r>
          </w:p>
        </w:tc>
        <w:tc>
          <w:tcPr>
            <w:tcW w:w="957" w:type="dxa"/>
            <w:vAlign w:val="center"/>
          </w:tcPr>
          <w:p w14:paraId="0939C661" w14:textId="598C3101"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2.210</w:t>
            </w:r>
          </w:p>
        </w:tc>
        <w:tc>
          <w:tcPr>
            <w:tcW w:w="820" w:type="dxa"/>
            <w:vAlign w:val="center"/>
          </w:tcPr>
          <w:p w14:paraId="68C2B7E0" w14:textId="11EF71E7"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30.332</w:t>
            </w:r>
          </w:p>
        </w:tc>
        <w:tc>
          <w:tcPr>
            <w:tcW w:w="852" w:type="dxa"/>
            <w:vAlign w:val="center"/>
          </w:tcPr>
          <w:p w14:paraId="0BD40F3B" w14:textId="6DBA6E9F"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2.403</w:t>
            </w:r>
          </w:p>
        </w:tc>
      </w:tr>
      <w:tr w:rsidR="00EF4BE6" w:rsidRPr="006068A2" w14:paraId="2AA1CDEF" w14:textId="77777777" w:rsidTr="003B379E">
        <w:trPr>
          <w:trHeight w:val="342"/>
          <w:jc w:val="center"/>
        </w:trPr>
        <w:tc>
          <w:tcPr>
            <w:tcW w:w="1167" w:type="dxa"/>
            <w:vAlign w:val="center"/>
          </w:tcPr>
          <w:p w14:paraId="17197AD7" w14:textId="54826FF4"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Chía</w:t>
            </w:r>
          </w:p>
        </w:tc>
        <w:tc>
          <w:tcPr>
            <w:tcW w:w="811" w:type="dxa"/>
            <w:vAlign w:val="center"/>
          </w:tcPr>
          <w:p w14:paraId="6C6509E3" w14:textId="78972199"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214</w:t>
            </w:r>
          </w:p>
        </w:tc>
        <w:tc>
          <w:tcPr>
            <w:tcW w:w="942" w:type="dxa"/>
            <w:vAlign w:val="center"/>
          </w:tcPr>
          <w:p w14:paraId="020D4B16" w14:textId="6BA31A39"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164</w:t>
            </w:r>
          </w:p>
        </w:tc>
        <w:tc>
          <w:tcPr>
            <w:tcW w:w="869" w:type="dxa"/>
            <w:vAlign w:val="center"/>
          </w:tcPr>
          <w:p w14:paraId="29D5D1BF" w14:textId="4CA72BE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460</w:t>
            </w:r>
          </w:p>
        </w:tc>
        <w:tc>
          <w:tcPr>
            <w:tcW w:w="842" w:type="dxa"/>
            <w:vAlign w:val="center"/>
          </w:tcPr>
          <w:p w14:paraId="47D438DA" w14:textId="3C0FABF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159</w:t>
            </w:r>
          </w:p>
        </w:tc>
        <w:tc>
          <w:tcPr>
            <w:tcW w:w="841" w:type="dxa"/>
            <w:vAlign w:val="center"/>
          </w:tcPr>
          <w:p w14:paraId="6FEA5BEC" w14:textId="45CD379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687</w:t>
            </w:r>
          </w:p>
        </w:tc>
        <w:tc>
          <w:tcPr>
            <w:tcW w:w="784" w:type="dxa"/>
            <w:vAlign w:val="center"/>
          </w:tcPr>
          <w:p w14:paraId="597EB006" w14:textId="6976592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139</w:t>
            </w:r>
          </w:p>
        </w:tc>
        <w:tc>
          <w:tcPr>
            <w:tcW w:w="922" w:type="dxa"/>
            <w:vAlign w:val="center"/>
          </w:tcPr>
          <w:p w14:paraId="2505CDA1" w14:textId="5F7541E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770</w:t>
            </w:r>
          </w:p>
        </w:tc>
        <w:tc>
          <w:tcPr>
            <w:tcW w:w="957" w:type="dxa"/>
            <w:vAlign w:val="center"/>
          </w:tcPr>
          <w:p w14:paraId="15F8CEE3" w14:textId="7B867B9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161</w:t>
            </w:r>
          </w:p>
        </w:tc>
        <w:tc>
          <w:tcPr>
            <w:tcW w:w="820" w:type="dxa"/>
            <w:vAlign w:val="center"/>
          </w:tcPr>
          <w:p w14:paraId="12C10BC3" w14:textId="107D3B02"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890</w:t>
            </w:r>
          </w:p>
        </w:tc>
        <w:tc>
          <w:tcPr>
            <w:tcW w:w="852" w:type="dxa"/>
            <w:vAlign w:val="center"/>
          </w:tcPr>
          <w:p w14:paraId="1AE08606" w14:textId="4BD7D44A"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196</w:t>
            </w:r>
          </w:p>
        </w:tc>
      </w:tr>
      <w:tr w:rsidR="00EF4BE6" w:rsidRPr="006068A2" w14:paraId="48F78C0C" w14:textId="77777777" w:rsidTr="003B379E">
        <w:trPr>
          <w:trHeight w:val="342"/>
          <w:jc w:val="center"/>
        </w:trPr>
        <w:tc>
          <w:tcPr>
            <w:tcW w:w="1167" w:type="dxa"/>
            <w:vAlign w:val="center"/>
          </w:tcPr>
          <w:p w14:paraId="391D93DE" w14:textId="4822FDDB"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Funza</w:t>
            </w:r>
          </w:p>
        </w:tc>
        <w:tc>
          <w:tcPr>
            <w:tcW w:w="811" w:type="dxa"/>
            <w:vAlign w:val="center"/>
          </w:tcPr>
          <w:p w14:paraId="60FCCFE7" w14:textId="13FE50C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942" w:type="dxa"/>
            <w:vAlign w:val="center"/>
          </w:tcPr>
          <w:p w14:paraId="55BB8B51" w14:textId="153683B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c>
          <w:tcPr>
            <w:tcW w:w="869" w:type="dxa"/>
            <w:vAlign w:val="center"/>
          </w:tcPr>
          <w:p w14:paraId="1012CBC8" w14:textId="66406129"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w:t>
            </w:r>
          </w:p>
        </w:tc>
        <w:tc>
          <w:tcPr>
            <w:tcW w:w="842" w:type="dxa"/>
            <w:vAlign w:val="center"/>
          </w:tcPr>
          <w:p w14:paraId="0B4955EB" w14:textId="739A8FF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41" w:type="dxa"/>
            <w:vAlign w:val="center"/>
          </w:tcPr>
          <w:p w14:paraId="28134B68" w14:textId="3E2CB58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784" w:type="dxa"/>
            <w:vAlign w:val="center"/>
          </w:tcPr>
          <w:p w14:paraId="65EAE7B9" w14:textId="4EF6D28F"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c>
          <w:tcPr>
            <w:tcW w:w="922" w:type="dxa"/>
            <w:vAlign w:val="center"/>
          </w:tcPr>
          <w:p w14:paraId="58259F55" w14:textId="5812ADC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957" w:type="dxa"/>
            <w:vAlign w:val="center"/>
          </w:tcPr>
          <w:p w14:paraId="329614F9" w14:textId="2C5E1A8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20" w:type="dxa"/>
            <w:vAlign w:val="center"/>
          </w:tcPr>
          <w:p w14:paraId="51E877A2" w14:textId="6BF0B73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52" w:type="dxa"/>
            <w:vAlign w:val="center"/>
          </w:tcPr>
          <w:p w14:paraId="23D07262" w14:textId="313AE46C"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r>
      <w:tr w:rsidR="00EF4BE6" w:rsidRPr="006068A2" w14:paraId="4B09C46B" w14:textId="77777777" w:rsidTr="003B379E">
        <w:trPr>
          <w:trHeight w:val="342"/>
          <w:jc w:val="center"/>
        </w:trPr>
        <w:tc>
          <w:tcPr>
            <w:tcW w:w="1167" w:type="dxa"/>
            <w:vAlign w:val="center"/>
          </w:tcPr>
          <w:p w14:paraId="75C82CC3" w14:textId="3D7F8F39"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Mosquera</w:t>
            </w:r>
          </w:p>
        </w:tc>
        <w:tc>
          <w:tcPr>
            <w:tcW w:w="811" w:type="dxa"/>
            <w:vAlign w:val="center"/>
          </w:tcPr>
          <w:p w14:paraId="098AF202" w14:textId="37FE4261"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74</w:t>
            </w:r>
          </w:p>
        </w:tc>
        <w:tc>
          <w:tcPr>
            <w:tcW w:w="942" w:type="dxa"/>
            <w:vAlign w:val="center"/>
          </w:tcPr>
          <w:p w14:paraId="69B9ABA7" w14:textId="42D0DE2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162</w:t>
            </w:r>
          </w:p>
        </w:tc>
        <w:tc>
          <w:tcPr>
            <w:tcW w:w="869" w:type="dxa"/>
            <w:vAlign w:val="center"/>
          </w:tcPr>
          <w:p w14:paraId="083D3D90" w14:textId="31BC8BF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1.126</w:t>
            </w:r>
          </w:p>
        </w:tc>
        <w:tc>
          <w:tcPr>
            <w:tcW w:w="842" w:type="dxa"/>
            <w:vAlign w:val="center"/>
          </w:tcPr>
          <w:p w14:paraId="344B8224" w14:textId="2A7E387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219</w:t>
            </w:r>
          </w:p>
        </w:tc>
        <w:tc>
          <w:tcPr>
            <w:tcW w:w="841" w:type="dxa"/>
            <w:vAlign w:val="center"/>
          </w:tcPr>
          <w:p w14:paraId="001D07EC" w14:textId="0A6D5822"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1.896</w:t>
            </w:r>
          </w:p>
        </w:tc>
        <w:tc>
          <w:tcPr>
            <w:tcW w:w="784" w:type="dxa"/>
            <w:vAlign w:val="center"/>
          </w:tcPr>
          <w:p w14:paraId="18541163" w14:textId="1F741E73"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277</w:t>
            </w:r>
          </w:p>
        </w:tc>
        <w:tc>
          <w:tcPr>
            <w:tcW w:w="922" w:type="dxa"/>
            <w:vAlign w:val="center"/>
          </w:tcPr>
          <w:p w14:paraId="0392F13E" w14:textId="5B65EAA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2.341</w:t>
            </w:r>
          </w:p>
        </w:tc>
        <w:tc>
          <w:tcPr>
            <w:tcW w:w="957" w:type="dxa"/>
            <w:vAlign w:val="center"/>
          </w:tcPr>
          <w:p w14:paraId="24DCD1BC" w14:textId="2BE4B70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300</w:t>
            </w:r>
          </w:p>
        </w:tc>
        <w:tc>
          <w:tcPr>
            <w:tcW w:w="820" w:type="dxa"/>
            <w:vAlign w:val="center"/>
          </w:tcPr>
          <w:p w14:paraId="73439C87" w14:textId="0746B9B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2.281</w:t>
            </w:r>
          </w:p>
        </w:tc>
        <w:tc>
          <w:tcPr>
            <w:tcW w:w="852" w:type="dxa"/>
            <w:vAlign w:val="center"/>
          </w:tcPr>
          <w:p w14:paraId="17AC2AF2" w14:textId="54A6F2F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312</w:t>
            </w:r>
          </w:p>
        </w:tc>
      </w:tr>
      <w:tr w:rsidR="00EF4BE6" w:rsidRPr="006068A2" w14:paraId="04B36A07" w14:textId="77777777" w:rsidTr="003B379E">
        <w:trPr>
          <w:trHeight w:val="342"/>
          <w:jc w:val="center"/>
        </w:trPr>
        <w:tc>
          <w:tcPr>
            <w:tcW w:w="1167" w:type="dxa"/>
            <w:vAlign w:val="center"/>
          </w:tcPr>
          <w:p w14:paraId="0FD1568D" w14:textId="47EF7821" w:rsidR="27918249" w:rsidRPr="006068A2" w:rsidRDefault="27918249"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Madrid</w:t>
            </w:r>
          </w:p>
        </w:tc>
        <w:tc>
          <w:tcPr>
            <w:tcW w:w="811" w:type="dxa"/>
            <w:vAlign w:val="center"/>
          </w:tcPr>
          <w:p w14:paraId="5E1600F4" w14:textId="49A1B0EE"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942" w:type="dxa"/>
            <w:vAlign w:val="center"/>
          </w:tcPr>
          <w:p w14:paraId="62537B9D" w14:textId="55A1B6A5"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4</w:t>
            </w:r>
          </w:p>
        </w:tc>
        <w:tc>
          <w:tcPr>
            <w:tcW w:w="869" w:type="dxa"/>
            <w:vAlign w:val="center"/>
          </w:tcPr>
          <w:p w14:paraId="0777E0BB" w14:textId="5294E901"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w:t>
            </w:r>
          </w:p>
        </w:tc>
        <w:tc>
          <w:tcPr>
            <w:tcW w:w="842" w:type="dxa"/>
            <w:vAlign w:val="center"/>
          </w:tcPr>
          <w:p w14:paraId="39C94414" w14:textId="69EE1D0D"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w:t>
            </w:r>
          </w:p>
        </w:tc>
        <w:tc>
          <w:tcPr>
            <w:tcW w:w="841" w:type="dxa"/>
            <w:vAlign w:val="center"/>
          </w:tcPr>
          <w:p w14:paraId="42FC1FE6" w14:textId="4C59CEB2"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5</w:t>
            </w:r>
          </w:p>
        </w:tc>
        <w:tc>
          <w:tcPr>
            <w:tcW w:w="784" w:type="dxa"/>
            <w:vAlign w:val="center"/>
          </w:tcPr>
          <w:p w14:paraId="3B40D7B9" w14:textId="5FB534F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3</w:t>
            </w:r>
          </w:p>
        </w:tc>
        <w:tc>
          <w:tcPr>
            <w:tcW w:w="922" w:type="dxa"/>
            <w:vAlign w:val="center"/>
          </w:tcPr>
          <w:p w14:paraId="306149C2" w14:textId="1EDB1DB0"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2</w:t>
            </w:r>
          </w:p>
        </w:tc>
        <w:tc>
          <w:tcPr>
            <w:tcW w:w="957" w:type="dxa"/>
            <w:vAlign w:val="center"/>
          </w:tcPr>
          <w:p w14:paraId="73ED1D58" w14:textId="2E6E6A4B"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20" w:type="dxa"/>
            <w:vAlign w:val="center"/>
          </w:tcPr>
          <w:p w14:paraId="57DAF07B" w14:textId="5DA9652B"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0</w:t>
            </w:r>
          </w:p>
        </w:tc>
        <w:tc>
          <w:tcPr>
            <w:tcW w:w="852" w:type="dxa"/>
            <w:vAlign w:val="center"/>
          </w:tcPr>
          <w:p w14:paraId="262FA005" w14:textId="4DE14388" w:rsidR="27918249" w:rsidRPr="006068A2" w:rsidRDefault="27918249" w:rsidP="006068A2">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1</w:t>
            </w:r>
          </w:p>
        </w:tc>
      </w:tr>
      <w:tr w:rsidR="00EF4BE6" w:rsidRPr="006068A2" w14:paraId="6111B497" w14:textId="77777777" w:rsidTr="003B379E">
        <w:trPr>
          <w:trHeight w:val="342"/>
          <w:jc w:val="center"/>
        </w:trPr>
        <w:tc>
          <w:tcPr>
            <w:tcW w:w="1167" w:type="dxa"/>
            <w:vAlign w:val="center"/>
          </w:tcPr>
          <w:p w14:paraId="7926A114" w14:textId="1B927E79" w:rsidR="27918249" w:rsidRPr="006068A2" w:rsidRDefault="27918249"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 xml:space="preserve">Total </w:t>
            </w:r>
          </w:p>
        </w:tc>
        <w:tc>
          <w:tcPr>
            <w:tcW w:w="811" w:type="dxa"/>
            <w:vAlign w:val="center"/>
          </w:tcPr>
          <w:p w14:paraId="4187E385" w14:textId="070DFA34"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24.523</w:t>
            </w:r>
          </w:p>
        </w:tc>
        <w:tc>
          <w:tcPr>
            <w:tcW w:w="942" w:type="dxa"/>
            <w:vAlign w:val="center"/>
          </w:tcPr>
          <w:p w14:paraId="24CA2784" w14:textId="6A5CD84F"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2.434</w:t>
            </w:r>
          </w:p>
        </w:tc>
        <w:tc>
          <w:tcPr>
            <w:tcW w:w="869" w:type="dxa"/>
            <w:vAlign w:val="center"/>
          </w:tcPr>
          <w:p w14:paraId="22912F17" w14:textId="021F7AF6"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29.998</w:t>
            </w:r>
          </w:p>
        </w:tc>
        <w:tc>
          <w:tcPr>
            <w:tcW w:w="842" w:type="dxa"/>
            <w:vAlign w:val="center"/>
          </w:tcPr>
          <w:p w14:paraId="292803EE" w14:textId="37782046"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2.321</w:t>
            </w:r>
          </w:p>
        </w:tc>
        <w:tc>
          <w:tcPr>
            <w:tcW w:w="841" w:type="dxa"/>
            <w:vAlign w:val="center"/>
          </w:tcPr>
          <w:p w14:paraId="05C7CD23" w14:textId="798DFDAC"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33.481</w:t>
            </w:r>
          </w:p>
        </w:tc>
        <w:tc>
          <w:tcPr>
            <w:tcW w:w="784" w:type="dxa"/>
            <w:vAlign w:val="center"/>
          </w:tcPr>
          <w:p w14:paraId="41A244AF" w14:textId="4BCB7032"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2.705</w:t>
            </w:r>
          </w:p>
        </w:tc>
        <w:tc>
          <w:tcPr>
            <w:tcW w:w="922" w:type="dxa"/>
            <w:vAlign w:val="center"/>
          </w:tcPr>
          <w:p w14:paraId="5DFD1CFE" w14:textId="5AFAF92C"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34.189</w:t>
            </w:r>
          </w:p>
        </w:tc>
        <w:tc>
          <w:tcPr>
            <w:tcW w:w="957" w:type="dxa"/>
            <w:vAlign w:val="center"/>
          </w:tcPr>
          <w:p w14:paraId="447C5884" w14:textId="1141F6C0"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2.671</w:t>
            </w:r>
          </w:p>
        </w:tc>
        <w:tc>
          <w:tcPr>
            <w:tcW w:w="820" w:type="dxa"/>
            <w:vAlign w:val="center"/>
          </w:tcPr>
          <w:p w14:paraId="42042506" w14:textId="6C19116F"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33.503</w:t>
            </w:r>
          </w:p>
        </w:tc>
        <w:tc>
          <w:tcPr>
            <w:tcW w:w="852" w:type="dxa"/>
            <w:vAlign w:val="center"/>
          </w:tcPr>
          <w:p w14:paraId="54329567" w14:textId="7B7DAA93" w:rsidR="27918249" w:rsidRPr="006068A2" w:rsidRDefault="27918249" w:rsidP="006068A2">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2.913</w:t>
            </w:r>
          </w:p>
        </w:tc>
      </w:tr>
    </w:tbl>
    <w:p w14:paraId="7225A1FE" w14:textId="5E6D7E29" w:rsidR="22DD496F" w:rsidRDefault="22DD496F" w:rsidP="006068A2">
      <w:pPr>
        <w:spacing w:line="360" w:lineRule="auto"/>
        <w:jc w:val="both"/>
        <w:rPr>
          <w:rFonts w:ascii="Arial" w:eastAsia="Arial" w:hAnsi="Arial" w:cs="Arial"/>
          <w:sz w:val="16"/>
          <w:szCs w:val="16"/>
        </w:rPr>
      </w:pPr>
      <w:r w:rsidRPr="000B4925">
        <w:rPr>
          <w:rFonts w:ascii="Arial" w:eastAsia="Arial" w:hAnsi="Arial" w:cs="Arial"/>
          <w:sz w:val="16"/>
          <w:szCs w:val="16"/>
        </w:rPr>
        <w:t xml:space="preserve">Fuentes: Ministerio de Salud y Protección Social. Cifras de afiliación en salud, corte a 31-12-2025. </w:t>
      </w:r>
      <w:hyperlink r:id="rId24" w:history="1">
        <w:r w:rsidR="000B4925" w:rsidRPr="008F0BB9">
          <w:rPr>
            <w:rStyle w:val="Hipervnculo"/>
            <w:rFonts w:ascii="Arial" w:eastAsia="Arial" w:hAnsi="Arial" w:cs="Arial"/>
            <w:sz w:val="16"/>
            <w:szCs w:val="16"/>
          </w:rPr>
          <w:t>https://public.tableau.com/app/profile/minsaludcol/viz/CifrasAseguramientoenSalud_16166927767750/Aseguramiento</w:t>
        </w:r>
      </w:hyperlink>
    </w:p>
    <w:p w14:paraId="00846499" w14:textId="553C34A1" w:rsidR="7551437A" w:rsidRPr="006068A2" w:rsidRDefault="7551437A" w:rsidP="006068A2">
      <w:pPr>
        <w:spacing w:line="360" w:lineRule="auto"/>
        <w:jc w:val="both"/>
        <w:rPr>
          <w:rFonts w:ascii="Arial" w:eastAsia="Arial" w:hAnsi="Arial" w:cs="Arial"/>
          <w:sz w:val="22"/>
          <w:szCs w:val="22"/>
        </w:rPr>
      </w:pPr>
    </w:p>
    <w:p w14:paraId="779DCE84" w14:textId="704CED24" w:rsidR="4E2C6BD8" w:rsidRPr="006068A2" w:rsidRDefault="4E2C6BD8"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De lo anteriormente expuesto, se observa que los municipios próximos a Bogotá D.C. a corte diciembre de 2025 contaban con </w:t>
      </w:r>
      <w:r w:rsidR="0EF3363F" w:rsidRPr="006068A2">
        <w:rPr>
          <w:rFonts w:ascii="Arial" w:eastAsia="Arial" w:hAnsi="Arial" w:cs="Arial"/>
          <w:sz w:val="22"/>
          <w:szCs w:val="22"/>
        </w:rPr>
        <w:t>36.416</w:t>
      </w:r>
      <w:r w:rsidRPr="006068A2">
        <w:rPr>
          <w:rFonts w:ascii="Arial" w:eastAsia="Arial" w:hAnsi="Arial" w:cs="Arial"/>
          <w:sz w:val="22"/>
          <w:szCs w:val="22"/>
        </w:rPr>
        <w:t xml:space="preserve"> usuarios de los cuales </w:t>
      </w:r>
      <w:r w:rsidR="6B6DF735" w:rsidRPr="006068A2">
        <w:rPr>
          <w:rFonts w:ascii="Arial" w:eastAsia="Arial" w:hAnsi="Arial" w:cs="Arial"/>
          <w:sz w:val="22"/>
          <w:szCs w:val="22"/>
        </w:rPr>
        <w:t>92</w:t>
      </w:r>
      <w:r w:rsidR="35ECCD9D" w:rsidRPr="006068A2">
        <w:rPr>
          <w:rFonts w:ascii="Arial" w:eastAsia="Arial" w:hAnsi="Arial" w:cs="Arial"/>
          <w:sz w:val="22"/>
          <w:szCs w:val="22"/>
        </w:rPr>
        <w:t>,</w:t>
      </w:r>
      <w:r w:rsidR="5BADD96D" w:rsidRPr="006068A2">
        <w:rPr>
          <w:rFonts w:ascii="Arial" w:eastAsia="Arial" w:hAnsi="Arial" w:cs="Arial"/>
          <w:sz w:val="22"/>
          <w:szCs w:val="22"/>
        </w:rPr>
        <w:t>00</w:t>
      </w:r>
      <w:r w:rsidRPr="006068A2">
        <w:rPr>
          <w:rFonts w:ascii="Arial" w:eastAsia="Arial" w:hAnsi="Arial" w:cs="Arial"/>
          <w:sz w:val="22"/>
          <w:szCs w:val="22"/>
        </w:rPr>
        <w:t xml:space="preserve">% corresponden al régimen </w:t>
      </w:r>
      <w:r w:rsidR="0F3A8CBE" w:rsidRPr="006068A2">
        <w:rPr>
          <w:rFonts w:ascii="Arial" w:eastAsia="Arial" w:hAnsi="Arial" w:cs="Arial"/>
          <w:sz w:val="22"/>
          <w:szCs w:val="22"/>
        </w:rPr>
        <w:t xml:space="preserve">subsidiado </w:t>
      </w:r>
      <w:r w:rsidRPr="006068A2">
        <w:rPr>
          <w:rFonts w:ascii="Arial" w:eastAsia="Arial" w:hAnsi="Arial" w:cs="Arial"/>
          <w:sz w:val="22"/>
          <w:szCs w:val="22"/>
        </w:rPr>
        <w:t xml:space="preserve">y el </w:t>
      </w:r>
      <w:r w:rsidR="73188B9A" w:rsidRPr="006068A2">
        <w:rPr>
          <w:rFonts w:ascii="Arial" w:eastAsia="Arial" w:hAnsi="Arial" w:cs="Arial"/>
          <w:sz w:val="22"/>
          <w:szCs w:val="22"/>
        </w:rPr>
        <w:t>8</w:t>
      </w:r>
      <w:r w:rsidR="526DF865" w:rsidRPr="006068A2">
        <w:rPr>
          <w:rFonts w:ascii="Arial" w:eastAsia="Arial" w:hAnsi="Arial" w:cs="Arial"/>
          <w:sz w:val="22"/>
          <w:szCs w:val="22"/>
        </w:rPr>
        <w:t>,00</w:t>
      </w:r>
      <w:r w:rsidRPr="006068A2">
        <w:rPr>
          <w:rFonts w:ascii="Arial" w:eastAsia="Arial" w:hAnsi="Arial" w:cs="Arial"/>
          <w:sz w:val="22"/>
          <w:szCs w:val="22"/>
        </w:rPr>
        <w:t xml:space="preserve">% al </w:t>
      </w:r>
      <w:r w:rsidR="37F81675" w:rsidRPr="006068A2">
        <w:rPr>
          <w:rFonts w:ascii="Arial" w:eastAsia="Arial" w:hAnsi="Arial" w:cs="Arial"/>
          <w:sz w:val="22"/>
          <w:szCs w:val="22"/>
        </w:rPr>
        <w:t>contributivo</w:t>
      </w:r>
      <w:r w:rsidRPr="006068A2">
        <w:rPr>
          <w:rFonts w:ascii="Arial" w:eastAsia="Arial" w:hAnsi="Arial" w:cs="Arial"/>
          <w:sz w:val="22"/>
          <w:szCs w:val="22"/>
        </w:rPr>
        <w:t xml:space="preserve">. Igualmente, se subraya que desde diciembre de 2021 a 2025 la población afiliada en los </w:t>
      </w:r>
      <w:r w:rsidR="002752D2">
        <w:rPr>
          <w:rFonts w:ascii="Arial" w:eastAsia="Arial" w:hAnsi="Arial" w:cs="Arial"/>
          <w:sz w:val="22"/>
          <w:szCs w:val="22"/>
        </w:rPr>
        <w:t xml:space="preserve">cinco </w:t>
      </w:r>
      <w:r w:rsidRPr="006068A2">
        <w:rPr>
          <w:rFonts w:ascii="Arial" w:eastAsia="Arial" w:hAnsi="Arial" w:cs="Arial"/>
          <w:sz w:val="22"/>
          <w:szCs w:val="22"/>
        </w:rPr>
        <w:t xml:space="preserve">municipios referenciados </w:t>
      </w:r>
      <w:r w:rsidR="4228A0DE" w:rsidRPr="006068A2">
        <w:rPr>
          <w:rFonts w:ascii="Arial" w:eastAsia="Arial" w:hAnsi="Arial" w:cs="Arial"/>
          <w:sz w:val="22"/>
          <w:szCs w:val="22"/>
        </w:rPr>
        <w:t>el</w:t>
      </w:r>
      <w:r w:rsidR="5FCFA093" w:rsidRPr="006068A2">
        <w:rPr>
          <w:rFonts w:ascii="Arial" w:eastAsia="Arial" w:hAnsi="Arial" w:cs="Arial"/>
          <w:sz w:val="22"/>
          <w:szCs w:val="22"/>
        </w:rPr>
        <w:t xml:space="preserve"> incremento total </w:t>
      </w:r>
      <w:r w:rsidR="2B73CCF1" w:rsidRPr="006068A2">
        <w:rPr>
          <w:rFonts w:ascii="Arial" w:eastAsia="Arial" w:hAnsi="Arial" w:cs="Arial"/>
          <w:sz w:val="22"/>
          <w:szCs w:val="22"/>
        </w:rPr>
        <w:t xml:space="preserve">fue del </w:t>
      </w:r>
      <w:r w:rsidR="3D1EAA92" w:rsidRPr="006068A2">
        <w:rPr>
          <w:rFonts w:ascii="Arial" w:eastAsia="Arial" w:hAnsi="Arial" w:cs="Arial"/>
          <w:sz w:val="22"/>
          <w:szCs w:val="22"/>
        </w:rPr>
        <w:t>35</w:t>
      </w:r>
      <w:r w:rsidRPr="006068A2">
        <w:rPr>
          <w:rFonts w:ascii="Arial" w:eastAsia="Arial" w:hAnsi="Arial" w:cs="Arial"/>
          <w:sz w:val="22"/>
          <w:szCs w:val="22"/>
        </w:rPr>
        <w:t>.</w:t>
      </w:r>
      <w:r w:rsidR="2CEEC5A6" w:rsidRPr="006068A2">
        <w:rPr>
          <w:rFonts w:ascii="Arial" w:eastAsia="Arial" w:hAnsi="Arial" w:cs="Arial"/>
          <w:sz w:val="22"/>
          <w:szCs w:val="22"/>
        </w:rPr>
        <w:t>08</w:t>
      </w:r>
      <w:r w:rsidRPr="006068A2">
        <w:rPr>
          <w:rFonts w:ascii="Arial" w:eastAsia="Arial" w:hAnsi="Arial" w:cs="Arial"/>
          <w:sz w:val="22"/>
          <w:szCs w:val="22"/>
        </w:rPr>
        <w:t>%.</w:t>
      </w:r>
    </w:p>
    <w:p w14:paraId="72038DB1" w14:textId="16B8EA6F" w:rsidR="7551437A" w:rsidRPr="006068A2" w:rsidRDefault="7551437A" w:rsidP="006068A2">
      <w:pPr>
        <w:spacing w:line="360" w:lineRule="auto"/>
        <w:jc w:val="both"/>
        <w:rPr>
          <w:rFonts w:ascii="Arial" w:eastAsia="Arial" w:hAnsi="Arial" w:cs="Arial"/>
          <w:sz w:val="22"/>
          <w:szCs w:val="22"/>
        </w:rPr>
      </w:pPr>
    </w:p>
    <w:p w14:paraId="63A54B41" w14:textId="0DD41430" w:rsidR="348BA29B" w:rsidRPr="006068A2" w:rsidRDefault="348BA29B" w:rsidP="006068A2">
      <w:pPr>
        <w:spacing w:line="360" w:lineRule="auto"/>
        <w:jc w:val="both"/>
        <w:rPr>
          <w:rFonts w:ascii="Arial" w:eastAsia="Arial" w:hAnsi="Arial" w:cs="Arial"/>
          <w:sz w:val="22"/>
          <w:szCs w:val="22"/>
        </w:rPr>
      </w:pPr>
      <w:r w:rsidRPr="006068A2">
        <w:rPr>
          <w:rFonts w:ascii="Arial" w:eastAsia="Arial" w:hAnsi="Arial" w:cs="Arial"/>
          <w:sz w:val="22"/>
          <w:szCs w:val="22"/>
        </w:rPr>
        <w:t xml:space="preserve">Lo anterior en relación con la atención en Bogotá y </w:t>
      </w:r>
      <w:r w:rsidR="0D8BF98E" w:rsidRPr="006068A2">
        <w:rPr>
          <w:rFonts w:ascii="Arial" w:eastAsia="Arial" w:hAnsi="Arial" w:cs="Arial"/>
          <w:sz w:val="22"/>
          <w:szCs w:val="22"/>
        </w:rPr>
        <w:t>COOSALUD</w:t>
      </w:r>
      <w:r w:rsidRPr="006068A2">
        <w:rPr>
          <w:rFonts w:ascii="Arial" w:eastAsia="Arial" w:hAnsi="Arial" w:cs="Arial"/>
          <w:sz w:val="22"/>
          <w:szCs w:val="22"/>
        </w:rPr>
        <w:t xml:space="preserve"> EPS este patrón sugiere una presión relevante sobre la red de prestación en el entorno de Bogotá, especialmente </w:t>
      </w:r>
      <w:r w:rsidRPr="006068A2">
        <w:rPr>
          <w:rFonts w:ascii="Arial" w:eastAsia="Arial" w:hAnsi="Arial" w:cs="Arial"/>
          <w:sz w:val="22"/>
          <w:szCs w:val="22"/>
        </w:rPr>
        <w:lastRenderedPageBreak/>
        <w:t xml:space="preserve">por la magnitud de afiliados en Soacha y el crecimiento en los dos regímenes durante el </w:t>
      </w:r>
      <w:r w:rsidR="2F29A142" w:rsidRPr="006068A2">
        <w:rPr>
          <w:rFonts w:ascii="Arial" w:eastAsia="Arial" w:hAnsi="Arial" w:cs="Arial"/>
          <w:sz w:val="22"/>
          <w:szCs w:val="22"/>
        </w:rPr>
        <w:t>lapso</w:t>
      </w:r>
      <w:r w:rsidRPr="006068A2">
        <w:rPr>
          <w:rFonts w:ascii="Arial" w:eastAsia="Arial" w:hAnsi="Arial" w:cs="Arial"/>
          <w:sz w:val="22"/>
          <w:szCs w:val="22"/>
        </w:rPr>
        <w:t xml:space="preserve"> relacionado en la tabl</w:t>
      </w:r>
      <w:r w:rsidR="7A953C5E" w:rsidRPr="006068A2">
        <w:rPr>
          <w:rFonts w:ascii="Arial" w:eastAsia="Arial" w:hAnsi="Arial" w:cs="Arial"/>
          <w:sz w:val="22"/>
          <w:szCs w:val="22"/>
        </w:rPr>
        <w:t>a</w:t>
      </w:r>
      <w:r w:rsidRPr="006068A2">
        <w:rPr>
          <w:rFonts w:ascii="Arial" w:eastAsia="Arial" w:hAnsi="Arial" w:cs="Arial"/>
          <w:sz w:val="22"/>
          <w:szCs w:val="22"/>
        </w:rPr>
        <w:t xml:space="preserve"> anterior, esto </w:t>
      </w:r>
      <w:r w:rsidR="660E7615" w:rsidRPr="006068A2">
        <w:rPr>
          <w:rFonts w:ascii="Arial" w:eastAsia="Arial" w:hAnsi="Arial" w:cs="Arial"/>
          <w:sz w:val="22"/>
          <w:szCs w:val="22"/>
        </w:rPr>
        <w:t>es más</w:t>
      </w:r>
      <w:r w:rsidRPr="006068A2">
        <w:rPr>
          <w:rFonts w:ascii="Arial" w:eastAsia="Arial" w:hAnsi="Arial" w:cs="Arial"/>
          <w:sz w:val="22"/>
          <w:szCs w:val="22"/>
        </w:rPr>
        <w:t xml:space="preserve"> demanda potencial de servicios y gestión del riesgo. Para </w:t>
      </w:r>
      <w:r w:rsidR="53A37AD7" w:rsidRPr="006068A2">
        <w:rPr>
          <w:rFonts w:ascii="Arial" w:eastAsia="Arial" w:hAnsi="Arial" w:cs="Arial"/>
          <w:sz w:val="22"/>
          <w:szCs w:val="22"/>
        </w:rPr>
        <w:t>Coosalud</w:t>
      </w:r>
      <w:r w:rsidR="7A930BB9" w:rsidRPr="006068A2">
        <w:rPr>
          <w:rFonts w:ascii="Arial" w:eastAsia="Arial" w:hAnsi="Arial" w:cs="Arial"/>
          <w:sz w:val="22"/>
          <w:szCs w:val="22"/>
        </w:rPr>
        <w:t xml:space="preserve"> EPS</w:t>
      </w:r>
      <w:r w:rsidRPr="006068A2">
        <w:rPr>
          <w:rFonts w:ascii="Arial" w:eastAsia="Arial" w:hAnsi="Arial" w:cs="Arial"/>
          <w:sz w:val="22"/>
          <w:szCs w:val="22"/>
        </w:rPr>
        <w:t>, esto se traduce en necesidad de asegurar capacidad suficiente de red, oportunidad en citas y autorizaciones, y continuidad de tratamientos para población que, aunque reside en municipios vecinos, frecuentemente usa servicios en Bogotá, lo que puede reflejarse en congestión y PQR si la red no responde.</w:t>
      </w:r>
    </w:p>
    <w:p w14:paraId="5289CEF1" w14:textId="77777777" w:rsidR="0001359C" w:rsidRPr="006068A2" w:rsidRDefault="0001359C" w:rsidP="006068A2">
      <w:pPr>
        <w:spacing w:line="360" w:lineRule="auto"/>
        <w:jc w:val="both"/>
        <w:rPr>
          <w:rFonts w:ascii="Arial" w:eastAsia="Arial" w:hAnsi="Arial" w:cs="Arial"/>
          <w:sz w:val="22"/>
          <w:szCs w:val="22"/>
        </w:rPr>
      </w:pPr>
    </w:p>
    <w:p w14:paraId="4C57DA46" w14:textId="58BCAD59" w:rsidR="000C4AE0" w:rsidRPr="006068A2" w:rsidRDefault="401FC128" w:rsidP="006068A2">
      <w:pPr>
        <w:pStyle w:val="Ttulo2"/>
        <w:numPr>
          <w:ilvl w:val="1"/>
          <w:numId w:val="9"/>
        </w:numPr>
        <w:spacing w:before="0" w:line="360" w:lineRule="auto"/>
        <w:jc w:val="both"/>
        <w:rPr>
          <w:rFonts w:ascii="Arial" w:hAnsi="Arial" w:cs="Arial"/>
          <w:b/>
          <w:bCs/>
          <w:color w:val="auto"/>
          <w:sz w:val="22"/>
          <w:szCs w:val="22"/>
        </w:rPr>
      </w:pPr>
      <w:bookmarkStart w:id="14" w:name="_Toc229397831"/>
      <w:r w:rsidRPr="006068A2">
        <w:rPr>
          <w:rFonts w:ascii="Arial" w:hAnsi="Arial" w:cs="Arial"/>
          <w:b/>
          <w:bCs/>
          <w:color w:val="auto"/>
          <w:sz w:val="22"/>
          <w:szCs w:val="22"/>
        </w:rPr>
        <w:t>Relación EPS – Ciudad</w:t>
      </w:r>
      <w:bookmarkEnd w:id="14"/>
      <w:r w:rsidR="3C3D1622" w:rsidRPr="006068A2">
        <w:rPr>
          <w:rFonts w:ascii="Arial" w:hAnsi="Arial" w:cs="Arial"/>
          <w:b/>
          <w:bCs/>
          <w:color w:val="auto"/>
          <w:sz w:val="22"/>
          <w:szCs w:val="22"/>
        </w:rPr>
        <w:t xml:space="preserve"> </w:t>
      </w:r>
    </w:p>
    <w:p w14:paraId="45FE804F" w14:textId="77777777" w:rsidR="00B231D9" w:rsidRDefault="00B231D9" w:rsidP="00DD0ABD">
      <w:pPr>
        <w:spacing w:line="360" w:lineRule="auto"/>
        <w:jc w:val="both"/>
        <w:rPr>
          <w:rFonts w:ascii="Arial" w:hAnsi="Arial" w:cs="Arial"/>
          <w:sz w:val="22"/>
          <w:szCs w:val="22"/>
        </w:rPr>
      </w:pPr>
      <w:bookmarkStart w:id="15" w:name="_Hlk224815064"/>
    </w:p>
    <w:p w14:paraId="14A3BAFF" w14:textId="12258F7E" w:rsidR="00DD0ABD" w:rsidRPr="00DD0ABD" w:rsidRDefault="00DD0ABD" w:rsidP="00DD0ABD">
      <w:pPr>
        <w:spacing w:line="360" w:lineRule="auto"/>
        <w:jc w:val="both"/>
        <w:rPr>
          <w:rFonts w:ascii="Arial" w:hAnsi="Arial" w:cs="Arial"/>
          <w:sz w:val="22"/>
          <w:szCs w:val="22"/>
        </w:rPr>
      </w:pPr>
      <w:r w:rsidRPr="00DD0ABD">
        <w:rPr>
          <w:rFonts w:ascii="Arial" w:hAnsi="Arial" w:cs="Arial"/>
          <w:sz w:val="22"/>
          <w:szCs w:val="22"/>
        </w:rPr>
        <w:t>Bogotá constituye un territorio relevante para el seguimiento de la operación de COOSALUD EPS, no tanto por su peso dentro del total nacional de afiliados de la entidad, sino por las implicaciones que su desempeño tiene sobre la garantía del acceso efectivo a los servicios de salud en el Distrito Capital, la articulación de su red prestadora y la capacidad de respuesta institucional frente a las necesidades de la población afiliada. En este sentido, aunque la participación de la EPS en el aseguramiento de la ciudad es reducida, su operación en Bogotá sigue siendo de interés para el análisis territorial, especialmente por los efectos que eventuales fallas en el aseguramiento pueden tener sobre la continuidad de la atención, la gestión del riesgo y la oportunidad en la prestación de servicios.</w:t>
      </w:r>
    </w:p>
    <w:p w14:paraId="68498CF8" w14:textId="77777777" w:rsidR="00DD0ABD" w:rsidRPr="00DD0ABD" w:rsidRDefault="00DD0ABD" w:rsidP="00DD0ABD">
      <w:pPr>
        <w:spacing w:line="360" w:lineRule="auto"/>
        <w:jc w:val="both"/>
        <w:rPr>
          <w:rFonts w:ascii="Arial" w:hAnsi="Arial" w:cs="Arial"/>
          <w:sz w:val="22"/>
          <w:szCs w:val="22"/>
        </w:rPr>
      </w:pPr>
    </w:p>
    <w:p w14:paraId="686213AC" w14:textId="2B2AD7A4" w:rsidR="00F81D98" w:rsidRDefault="00DD0ABD" w:rsidP="00DD0ABD">
      <w:pPr>
        <w:spacing w:line="360" w:lineRule="auto"/>
        <w:jc w:val="both"/>
        <w:rPr>
          <w:rFonts w:ascii="Arial" w:hAnsi="Arial" w:cs="Arial"/>
          <w:sz w:val="22"/>
          <w:szCs w:val="22"/>
        </w:rPr>
      </w:pPr>
      <w:r w:rsidRPr="00DD0ABD">
        <w:rPr>
          <w:rFonts w:ascii="Arial" w:hAnsi="Arial" w:cs="Arial"/>
          <w:sz w:val="22"/>
          <w:szCs w:val="22"/>
        </w:rPr>
        <w:t xml:space="preserve">De acuerdo con cifras del Ministerio de Salud y Protección Social, con corte a 31 de diciembre de 2025, COOSALUD EPS registró 3.357.788 afiliados a nivel nacional, de los cuales 336.189 correspondieron al régimen contributivo y 3.021.599 al régimen subsidiado. Para Bogotá D. C., la entidad reportó un total de 34.472 afiliados, distribuidos en 27.470 en el régimen </w:t>
      </w:r>
      <w:r w:rsidR="00667228">
        <w:rPr>
          <w:rFonts w:ascii="Arial" w:hAnsi="Arial" w:cs="Arial"/>
          <w:sz w:val="22"/>
          <w:szCs w:val="22"/>
        </w:rPr>
        <w:t xml:space="preserve">subsidiado </w:t>
      </w:r>
      <w:r w:rsidRPr="00DD0ABD">
        <w:rPr>
          <w:rFonts w:ascii="Arial" w:hAnsi="Arial" w:cs="Arial"/>
          <w:sz w:val="22"/>
          <w:szCs w:val="22"/>
        </w:rPr>
        <w:t xml:space="preserve">y 7.002 en el régimen </w:t>
      </w:r>
      <w:r w:rsidR="00BB55B7">
        <w:rPr>
          <w:rFonts w:ascii="Arial" w:hAnsi="Arial" w:cs="Arial"/>
          <w:sz w:val="22"/>
          <w:szCs w:val="22"/>
        </w:rPr>
        <w:t>contributivo</w:t>
      </w:r>
      <w:r w:rsidRPr="00DD0ABD">
        <w:rPr>
          <w:rFonts w:ascii="Arial" w:hAnsi="Arial" w:cs="Arial"/>
          <w:sz w:val="22"/>
          <w:szCs w:val="22"/>
        </w:rPr>
        <w:t>. Esta distribución permite advertir que, aunque la participación de Bogotá dentro del total nacional de afiliados de COOSALUD EPS es baja, existen diferencias relevantes cuando se analiza su peso relativo por régimen.</w:t>
      </w:r>
    </w:p>
    <w:p w14:paraId="568CCDCA" w14:textId="77777777" w:rsidR="00DD0ABD" w:rsidRPr="006068A2" w:rsidRDefault="00DD0ABD" w:rsidP="00DD0ABD">
      <w:pPr>
        <w:spacing w:line="360" w:lineRule="auto"/>
        <w:jc w:val="both"/>
        <w:rPr>
          <w:rFonts w:ascii="Arial" w:hAnsi="Arial" w:cs="Arial"/>
          <w:sz w:val="22"/>
          <w:szCs w:val="22"/>
        </w:rPr>
      </w:pPr>
    </w:p>
    <w:p w14:paraId="1599932A" w14:textId="07ECBFF2" w:rsidR="00F81D98" w:rsidRPr="006068A2" w:rsidRDefault="00B11D92" w:rsidP="003F3C8F">
      <w:pPr>
        <w:pStyle w:val="Descripcin"/>
        <w:spacing w:after="0" w:line="360" w:lineRule="auto"/>
        <w:jc w:val="both"/>
        <w:rPr>
          <w:rFonts w:ascii="Arial" w:hAnsi="Arial" w:cs="Arial"/>
          <w:i w:val="0"/>
          <w:iCs w:val="0"/>
          <w:color w:val="auto"/>
          <w:sz w:val="22"/>
          <w:szCs w:val="22"/>
        </w:rPr>
      </w:pPr>
      <w:bookmarkStart w:id="16" w:name="_Toc229395862"/>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5</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xml:space="preserve">. Participación de los afiliados de Coosalud de Bogotá D.C en la afiliación nacional de Coosalud EPSS a </w:t>
      </w:r>
      <w:r w:rsidR="002355F9">
        <w:rPr>
          <w:rFonts w:ascii="Arial" w:hAnsi="Arial" w:cs="Arial"/>
          <w:i w:val="0"/>
          <w:iCs w:val="0"/>
          <w:color w:val="auto"/>
          <w:sz w:val="22"/>
          <w:szCs w:val="22"/>
        </w:rPr>
        <w:t xml:space="preserve">31 de </w:t>
      </w:r>
      <w:r w:rsidRPr="006068A2">
        <w:rPr>
          <w:rFonts w:ascii="Arial" w:hAnsi="Arial" w:cs="Arial"/>
          <w:i w:val="0"/>
          <w:iCs w:val="0"/>
          <w:color w:val="auto"/>
          <w:sz w:val="22"/>
          <w:szCs w:val="22"/>
        </w:rPr>
        <w:t>diciembre</w:t>
      </w:r>
      <w:r w:rsidR="002355F9">
        <w:rPr>
          <w:rFonts w:ascii="Arial" w:hAnsi="Arial" w:cs="Arial"/>
          <w:i w:val="0"/>
          <w:iCs w:val="0"/>
          <w:color w:val="auto"/>
          <w:sz w:val="22"/>
          <w:szCs w:val="22"/>
        </w:rPr>
        <w:t xml:space="preserve"> </w:t>
      </w:r>
      <w:r w:rsidRPr="006068A2">
        <w:rPr>
          <w:rFonts w:ascii="Arial" w:hAnsi="Arial" w:cs="Arial"/>
          <w:i w:val="0"/>
          <w:iCs w:val="0"/>
          <w:color w:val="auto"/>
          <w:sz w:val="22"/>
          <w:szCs w:val="22"/>
        </w:rPr>
        <w:t>de 202</w:t>
      </w:r>
      <w:r w:rsidR="008F4BE8">
        <w:rPr>
          <w:rFonts w:ascii="Arial" w:hAnsi="Arial" w:cs="Arial"/>
          <w:i w:val="0"/>
          <w:iCs w:val="0"/>
          <w:color w:val="auto"/>
          <w:sz w:val="22"/>
          <w:szCs w:val="22"/>
        </w:rPr>
        <w:t>5</w:t>
      </w:r>
      <w:bookmarkEnd w:id="16"/>
    </w:p>
    <w:p w14:paraId="7DF9BBE4" w14:textId="77777777" w:rsidR="003138D1" w:rsidRPr="006068A2" w:rsidRDefault="003138D1" w:rsidP="006068A2">
      <w:pPr>
        <w:spacing w:line="360" w:lineRule="auto"/>
        <w:rPr>
          <w:rFonts w:ascii="Arial" w:hAnsi="Arial" w:cs="Arial"/>
          <w:sz w:val="22"/>
          <w:szCs w:val="22"/>
        </w:rPr>
      </w:pPr>
    </w:p>
    <w:tbl>
      <w:tblPr>
        <w:tblStyle w:val="Tablaconcuadrcula"/>
        <w:tblW w:w="9054" w:type="dxa"/>
        <w:tblLook w:val="04A0" w:firstRow="1" w:lastRow="0" w:firstColumn="1" w:lastColumn="0" w:noHBand="0" w:noVBand="1"/>
      </w:tblPr>
      <w:tblGrid>
        <w:gridCol w:w="2424"/>
        <w:gridCol w:w="1963"/>
        <w:gridCol w:w="2091"/>
        <w:gridCol w:w="2576"/>
      </w:tblGrid>
      <w:tr w:rsidR="00F81D98" w:rsidRPr="006068A2" w14:paraId="58667C10" w14:textId="77777777" w:rsidTr="00AB2A4D">
        <w:trPr>
          <w:trHeight w:val="70"/>
        </w:trPr>
        <w:tc>
          <w:tcPr>
            <w:tcW w:w="2424" w:type="dxa"/>
            <w:noWrap/>
            <w:vAlign w:val="center"/>
            <w:hideMark/>
          </w:tcPr>
          <w:p w14:paraId="3FAF7864" w14:textId="77777777" w:rsidR="00F81D98" w:rsidRPr="006068A2" w:rsidRDefault="00F81D98" w:rsidP="006068A2">
            <w:pPr>
              <w:spacing w:line="360" w:lineRule="auto"/>
              <w:jc w:val="center"/>
              <w:rPr>
                <w:rFonts w:ascii="Arial" w:hAnsi="Arial" w:cs="Arial"/>
                <w:b/>
                <w:bCs/>
                <w:sz w:val="22"/>
                <w:szCs w:val="22"/>
              </w:rPr>
            </w:pPr>
            <w:r w:rsidRPr="006068A2">
              <w:rPr>
                <w:rFonts w:ascii="Arial" w:hAnsi="Arial" w:cs="Arial"/>
                <w:b/>
                <w:bCs/>
                <w:sz w:val="22"/>
                <w:szCs w:val="22"/>
              </w:rPr>
              <w:t>Lugar</w:t>
            </w:r>
          </w:p>
        </w:tc>
        <w:tc>
          <w:tcPr>
            <w:tcW w:w="1963" w:type="dxa"/>
            <w:noWrap/>
            <w:vAlign w:val="center"/>
            <w:hideMark/>
          </w:tcPr>
          <w:p w14:paraId="49AA6EC4" w14:textId="77777777" w:rsidR="00F81D98" w:rsidRPr="006068A2" w:rsidRDefault="00F81D98" w:rsidP="00AB2A4D">
            <w:pPr>
              <w:spacing w:line="360" w:lineRule="auto"/>
              <w:jc w:val="center"/>
              <w:rPr>
                <w:rFonts w:ascii="Arial" w:hAnsi="Arial" w:cs="Arial"/>
                <w:b/>
                <w:bCs/>
                <w:sz w:val="22"/>
                <w:szCs w:val="22"/>
              </w:rPr>
            </w:pPr>
            <w:r w:rsidRPr="006068A2">
              <w:rPr>
                <w:rFonts w:ascii="Arial" w:hAnsi="Arial" w:cs="Arial"/>
                <w:b/>
                <w:bCs/>
                <w:sz w:val="22"/>
                <w:szCs w:val="22"/>
              </w:rPr>
              <w:t>R. contributivo</w:t>
            </w:r>
          </w:p>
        </w:tc>
        <w:tc>
          <w:tcPr>
            <w:tcW w:w="2091" w:type="dxa"/>
            <w:noWrap/>
            <w:vAlign w:val="center"/>
            <w:hideMark/>
          </w:tcPr>
          <w:p w14:paraId="2A683843" w14:textId="77777777" w:rsidR="00F81D98" w:rsidRPr="006068A2" w:rsidRDefault="00F81D98" w:rsidP="00AB2A4D">
            <w:pPr>
              <w:spacing w:line="360" w:lineRule="auto"/>
              <w:jc w:val="center"/>
              <w:rPr>
                <w:rFonts w:ascii="Arial" w:hAnsi="Arial" w:cs="Arial"/>
                <w:b/>
                <w:bCs/>
                <w:sz w:val="22"/>
                <w:szCs w:val="22"/>
              </w:rPr>
            </w:pPr>
            <w:r w:rsidRPr="006068A2">
              <w:rPr>
                <w:rFonts w:ascii="Arial" w:hAnsi="Arial" w:cs="Arial"/>
                <w:b/>
                <w:bCs/>
                <w:sz w:val="22"/>
                <w:szCs w:val="22"/>
              </w:rPr>
              <w:t>R. Subsidiado</w:t>
            </w:r>
          </w:p>
        </w:tc>
        <w:tc>
          <w:tcPr>
            <w:tcW w:w="2576" w:type="dxa"/>
            <w:noWrap/>
            <w:vAlign w:val="center"/>
            <w:hideMark/>
          </w:tcPr>
          <w:p w14:paraId="7B431AC2" w14:textId="77777777" w:rsidR="00F81D98" w:rsidRPr="006068A2" w:rsidRDefault="00F81D98" w:rsidP="00AB2A4D">
            <w:pPr>
              <w:spacing w:line="360" w:lineRule="auto"/>
              <w:jc w:val="center"/>
              <w:rPr>
                <w:rFonts w:ascii="Arial" w:hAnsi="Arial" w:cs="Arial"/>
                <w:b/>
                <w:bCs/>
                <w:sz w:val="22"/>
                <w:szCs w:val="22"/>
              </w:rPr>
            </w:pPr>
            <w:r w:rsidRPr="006068A2">
              <w:rPr>
                <w:rFonts w:ascii="Arial" w:hAnsi="Arial" w:cs="Arial"/>
                <w:b/>
                <w:bCs/>
                <w:sz w:val="22"/>
                <w:szCs w:val="22"/>
              </w:rPr>
              <w:t>Total</w:t>
            </w:r>
          </w:p>
        </w:tc>
      </w:tr>
      <w:tr w:rsidR="00F81D98" w:rsidRPr="006068A2" w14:paraId="309557A2" w14:textId="77777777" w:rsidTr="00AB2A4D">
        <w:trPr>
          <w:trHeight w:val="421"/>
        </w:trPr>
        <w:tc>
          <w:tcPr>
            <w:tcW w:w="2424" w:type="dxa"/>
            <w:noWrap/>
            <w:vAlign w:val="center"/>
            <w:hideMark/>
          </w:tcPr>
          <w:p w14:paraId="6EB247C1" w14:textId="77777777" w:rsidR="00F81D98" w:rsidRPr="006068A2"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t>Nacional</w:t>
            </w:r>
          </w:p>
        </w:tc>
        <w:tc>
          <w:tcPr>
            <w:tcW w:w="1963" w:type="dxa"/>
            <w:noWrap/>
            <w:vAlign w:val="center"/>
            <w:hideMark/>
          </w:tcPr>
          <w:p w14:paraId="48779E11" w14:textId="77777777" w:rsidR="00F81D98" w:rsidRPr="006068A2" w:rsidRDefault="00F81D98" w:rsidP="00AB2A4D">
            <w:pPr>
              <w:spacing w:line="360" w:lineRule="auto"/>
              <w:jc w:val="center"/>
              <w:rPr>
                <w:rFonts w:ascii="Arial" w:hAnsi="Arial" w:cs="Arial"/>
                <w:sz w:val="22"/>
                <w:szCs w:val="22"/>
              </w:rPr>
            </w:pPr>
            <w:r w:rsidRPr="006068A2">
              <w:rPr>
                <w:rFonts w:ascii="Arial" w:hAnsi="Arial" w:cs="Arial"/>
                <w:sz w:val="22"/>
                <w:szCs w:val="22"/>
              </w:rPr>
              <w:t>336.189</w:t>
            </w:r>
          </w:p>
        </w:tc>
        <w:tc>
          <w:tcPr>
            <w:tcW w:w="2091" w:type="dxa"/>
            <w:noWrap/>
            <w:vAlign w:val="center"/>
            <w:hideMark/>
          </w:tcPr>
          <w:p w14:paraId="2FF7BBD5" w14:textId="77777777" w:rsidR="00F81D98" w:rsidRPr="006068A2" w:rsidRDefault="00F81D98" w:rsidP="00AB2A4D">
            <w:pPr>
              <w:spacing w:line="360" w:lineRule="auto"/>
              <w:jc w:val="center"/>
              <w:rPr>
                <w:rFonts w:ascii="Arial" w:hAnsi="Arial" w:cs="Arial"/>
                <w:sz w:val="22"/>
                <w:szCs w:val="22"/>
              </w:rPr>
            </w:pPr>
            <w:r w:rsidRPr="006068A2">
              <w:rPr>
                <w:rFonts w:ascii="Arial" w:hAnsi="Arial" w:cs="Arial"/>
                <w:sz w:val="22"/>
                <w:szCs w:val="22"/>
              </w:rPr>
              <w:t>3.021.599</w:t>
            </w:r>
          </w:p>
        </w:tc>
        <w:tc>
          <w:tcPr>
            <w:tcW w:w="2576" w:type="dxa"/>
            <w:noWrap/>
            <w:vAlign w:val="center"/>
            <w:hideMark/>
          </w:tcPr>
          <w:p w14:paraId="4DEDA30F" w14:textId="77777777" w:rsidR="00F81D98" w:rsidRPr="006068A2" w:rsidRDefault="00F81D98" w:rsidP="00AB2A4D">
            <w:pPr>
              <w:spacing w:line="360" w:lineRule="auto"/>
              <w:jc w:val="center"/>
              <w:rPr>
                <w:rFonts w:ascii="Arial" w:hAnsi="Arial" w:cs="Arial"/>
                <w:sz w:val="22"/>
                <w:szCs w:val="22"/>
              </w:rPr>
            </w:pPr>
            <w:r w:rsidRPr="006068A2">
              <w:rPr>
                <w:rFonts w:ascii="Arial" w:hAnsi="Arial" w:cs="Arial"/>
                <w:sz w:val="22"/>
                <w:szCs w:val="22"/>
              </w:rPr>
              <w:t>3.357.788</w:t>
            </w:r>
          </w:p>
        </w:tc>
      </w:tr>
      <w:tr w:rsidR="00F81D98" w:rsidRPr="006068A2" w14:paraId="0045A83D" w14:textId="77777777" w:rsidTr="00AB2A4D">
        <w:trPr>
          <w:trHeight w:val="401"/>
        </w:trPr>
        <w:tc>
          <w:tcPr>
            <w:tcW w:w="2424" w:type="dxa"/>
            <w:noWrap/>
            <w:vAlign w:val="center"/>
            <w:hideMark/>
          </w:tcPr>
          <w:p w14:paraId="6C4FABE1" w14:textId="77777777" w:rsidR="00F81D98" w:rsidRPr="006068A2"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lastRenderedPageBreak/>
              <w:t>Bogotá</w:t>
            </w:r>
          </w:p>
        </w:tc>
        <w:tc>
          <w:tcPr>
            <w:tcW w:w="1963" w:type="dxa"/>
            <w:noWrap/>
            <w:vAlign w:val="center"/>
          </w:tcPr>
          <w:p w14:paraId="4781C243" w14:textId="222D82E4" w:rsidR="00F81D98" w:rsidRPr="006068A2" w:rsidRDefault="00A50C92" w:rsidP="00AB2A4D">
            <w:pPr>
              <w:spacing w:line="360" w:lineRule="auto"/>
              <w:jc w:val="center"/>
              <w:rPr>
                <w:rFonts w:ascii="Arial" w:hAnsi="Arial" w:cs="Arial"/>
                <w:sz w:val="22"/>
                <w:szCs w:val="22"/>
              </w:rPr>
            </w:pPr>
            <w:r>
              <w:rPr>
                <w:rFonts w:ascii="Arial" w:hAnsi="Arial" w:cs="Arial"/>
                <w:sz w:val="22"/>
                <w:szCs w:val="22"/>
              </w:rPr>
              <w:t>7.002</w:t>
            </w:r>
          </w:p>
        </w:tc>
        <w:tc>
          <w:tcPr>
            <w:tcW w:w="2091" w:type="dxa"/>
            <w:noWrap/>
            <w:vAlign w:val="center"/>
          </w:tcPr>
          <w:p w14:paraId="580650FE" w14:textId="68683416" w:rsidR="00F81D98" w:rsidRPr="006068A2" w:rsidRDefault="00A50C92" w:rsidP="00AB2A4D">
            <w:pPr>
              <w:spacing w:line="360" w:lineRule="auto"/>
              <w:jc w:val="center"/>
              <w:rPr>
                <w:rFonts w:ascii="Arial" w:hAnsi="Arial" w:cs="Arial"/>
                <w:sz w:val="22"/>
                <w:szCs w:val="22"/>
              </w:rPr>
            </w:pPr>
            <w:r w:rsidRPr="008F4BE8">
              <w:rPr>
                <w:rFonts w:ascii="Arial" w:hAnsi="Arial" w:cs="Arial"/>
                <w:sz w:val="22"/>
                <w:szCs w:val="22"/>
              </w:rPr>
              <w:t>27.470</w:t>
            </w:r>
          </w:p>
        </w:tc>
        <w:tc>
          <w:tcPr>
            <w:tcW w:w="2576" w:type="dxa"/>
            <w:noWrap/>
            <w:vAlign w:val="center"/>
          </w:tcPr>
          <w:p w14:paraId="055DF326" w14:textId="1952FC32" w:rsidR="00F81D98" w:rsidRPr="008F4BE8" w:rsidRDefault="008F4BE8" w:rsidP="00AB2A4D">
            <w:pPr>
              <w:spacing w:line="360" w:lineRule="auto"/>
              <w:jc w:val="center"/>
              <w:rPr>
                <w:rFonts w:ascii="Arial" w:hAnsi="Arial" w:cs="Arial"/>
                <w:sz w:val="22"/>
                <w:szCs w:val="22"/>
              </w:rPr>
            </w:pPr>
            <w:r w:rsidRPr="008F4BE8">
              <w:rPr>
                <w:rFonts w:ascii="Arial" w:eastAsia="Arial" w:hAnsi="Arial" w:cs="Arial"/>
                <w:sz w:val="22"/>
                <w:szCs w:val="22"/>
              </w:rPr>
              <w:t>34.472</w:t>
            </w:r>
          </w:p>
        </w:tc>
      </w:tr>
      <w:tr w:rsidR="00200D47" w:rsidRPr="006068A2" w14:paraId="0AC63082" w14:textId="77777777" w:rsidTr="00AB2A4D">
        <w:trPr>
          <w:trHeight w:val="70"/>
        </w:trPr>
        <w:tc>
          <w:tcPr>
            <w:tcW w:w="2424" w:type="dxa"/>
            <w:noWrap/>
            <w:vAlign w:val="center"/>
            <w:hideMark/>
          </w:tcPr>
          <w:p w14:paraId="0B53DED1" w14:textId="2F40D9E3" w:rsidR="00200D47" w:rsidRPr="006068A2" w:rsidRDefault="00200D47" w:rsidP="006068A2">
            <w:pPr>
              <w:spacing w:line="360" w:lineRule="auto"/>
              <w:jc w:val="both"/>
              <w:rPr>
                <w:rFonts w:ascii="Arial" w:hAnsi="Arial" w:cs="Arial"/>
                <w:b/>
                <w:bCs/>
                <w:sz w:val="22"/>
                <w:szCs w:val="22"/>
              </w:rPr>
            </w:pPr>
            <w:r w:rsidRPr="006068A2">
              <w:rPr>
                <w:rFonts w:ascii="Arial" w:hAnsi="Arial" w:cs="Arial"/>
                <w:b/>
                <w:bCs/>
                <w:sz w:val="22"/>
                <w:szCs w:val="22"/>
              </w:rPr>
              <w:t>Participación</w:t>
            </w:r>
          </w:p>
        </w:tc>
        <w:tc>
          <w:tcPr>
            <w:tcW w:w="1963" w:type="dxa"/>
            <w:noWrap/>
            <w:vAlign w:val="center"/>
            <w:hideMark/>
          </w:tcPr>
          <w:p w14:paraId="2B97A350" w14:textId="7F8F29E0" w:rsidR="00200D47" w:rsidRPr="006068A2" w:rsidRDefault="00200D47" w:rsidP="00AB2A4D">
            <w:pPr>
              <w:spacing w:line="360" w:lineRule="auto"/>
              <w:jc w:val="center"/>
              <w:rPr>
                <w:rFonts w:ascii="Arial" w:hAnsi="Arial" w:cs="Arial"/>
                <w:sz w:val="22"/>
                <w:szCs w:val="22"/>
              </w:rPr>
            </w:pPr>
            <w:r w:rsidRPr="006068A2">
              <w:rPr>
                <w:rFonts w:ascii="Arial" w:hAnsi="Arial" w:cs="Arial"/>
                <w:sz w:val="22"/>
                <w:szCs w:val="22"/>
              </w:rPr>
              <w:t>2,1%</w:t>
            </w:r>
          </w:p>
        </w:tc>
        <w:tc>
          <w:tcPr>
            <w:tcW w:w="2091" w:type="dxa"/>
            <w:noWrap/>
            <w:vAlign w:val="center"/>
            <w:hideMark/>
          </w:tcPr>
          <w:p w14:paraId="7360FC6E" w14:textId="554571D1" w:rsidR="00200D47" w:rsidRPr="006068A2" w:rsidRDefault="00200D47" w:rsidP="00AB2A4D">
            <w:pPr>
              <w:spacing w:line="360" w:lineRule="auto"/>
              <w:jc w:val="center"/>
              <w:rPr>
                <w:rFonts w:ascii="Arial" w:hAnsi="Arial" w:cs="Arial"/>
                <w:sz w:val="22"/>
                <w:szCs w:val="22"/>
              </w:rPr>
            </w:pPr>
            <w:r w:rsidRPr="006068A2">
              <w:rPr>
                <w:rFonts w:ascii="Arial" w:hAnsi="Arial" w:cs="Arial"/>
                <w:sz w:val="22"/>
                <w:szCs w:val="22"/>
              </w:rPr>
              <w:t>0,9%</w:t>
            </w:r>
          </w:p>
        </w:tc>
        <w:tc>
          <w:tcPr>
            <w:tcW w:w="2576" w:type="dxa"/>
            <w:noWrap/>
            <w:vAlign w:val="center"/>
            <w:hideMark/>
          </w:tcPr>
          <w:p w14:paraId="6AC10ABF" w14:textId="12DA82BA" w:rsidR="00200D47" w:rsidRPr="006068A2" w:rsidRDefault="00200D47" w:rsidP="00AB2A4D">
            <w:pPr>
              <w:spacing w:line="360" w:lineRule="auto"/>
              <w:jc w:val="center"/>
              <w:rPr>
                <w:rFonts w:ascii="Arial" w:hAnsi="Arial" w:cs="Arial"/>
                <w:sz w:val="22"/>
                <w:szCs w:val="22"/>
              </w:rPr>
            </w:pPr>
            <w:r w:rsidRPr="006068A2">
              <w:rPr>
                <w:rFonts w:ascii="Arial" w:hAnsi="Arial" w:cs="Arial"/>
                <w:sz w:val="22"/>
                <w:szCs w:val="22"/>
              </w:rPr>
              <w:t>1,0%</w:t>
            </w:r>
          </w:p>
        </w:tc>
      </w:tr>
    </w:tbl>
    <w:p w14:paraId="55DD385C" w14:textId="75CE7015" w:rsidR="00F81D98" w:rsidRPr="005D62BA" w:rsidRDefault="00F81D98" w:rsidP="006068A2">
      <w:pPr>
        <w:pStyle w:val="Textonotapie"/>
        <w:spacing w:line="360" w:lineRule="auto"/>
        <w:jc w:val="both"/>
        <w:rPr>
          <w:rFonts w:ascii="Arial" w:hAnsi="Arial" w:cs="Arial"/>
          <w:sz w:val="16"/>
          <w:szCs w:val="16"/>
          <w:lang w:val="es-MX"/>
        </w:rPr>
      </w:pPr>
      <w:r w:rsidRPr="005D62BA">
        <w:rPr>
          <w:rFonts w:ascii="Arial" w:hAnsi="Arial" w:cs="Arial"/>
          <w:sz w:val="16"/>
          <w:szCs w:val="16"/>
        </w:rPr>
        <w:t xml:space="preserve">Fuente: Ministerio de Salud y Protección Social Cifras de afiliación.  </w:t>
      </w:r>
      <w:hyperlink r:id="rId25" w:history="1">
        <w:r w:rsidRPr="005D62BA">
          <w:rPr>
            <w:rStyle w:val="Hipervnculo"/>
            <w:rFonts w:ascii="Arial" w:hAnsi="Arial" w:cs="Arial"/>
            <w:sz w:val="16"/>
            <w:szCs w:val="16"/>
          </w:rPr>
          <w:t>https://www.minsalud.gov.co/proteccionsocial/Paginas/cifras-aseguramiento-salud.aspx</w:t>
        </w:r>
      </w:hyperlink>
      <w:r w:rsidRPr="005D62BA">
        <w:rPr>
          <w:rFonts w:ascii="Arial" w:hAnsi="Arial" w:cs="Arial"/>
          <w:sz w:val="16"/>
          <w:szCs w:val="16"/>
        </w:rPr>
        <w:t>. Consultado el 17/03/2026</w:t>
      </w:r>
    </w:p>
    <w:p w14:paraId="26048A79" w14:textId="77777777" w:rsidR="00F81D98" w:rsidRPr="006068A2" w:rsidRDefault="00F81D98" w:rsidP="006068A2">
      <w:pPr>
        <w:spacing w:line="360" w:lineRule="auto"/>
        <w:jc w:val="both"/>
        <w:rPr>
          <w:rFonts w:ascii="Arial" w:hAnsi="Arial" w:cs="Arial"/>
          <w:sz w:val="22"/>
          <w:szCs w:val="22"/>
        </w:rPr>
      </w:pPr>
    </w:p>
    <w:p w14:paraId="380FC1DF" w14:textId="77777777" w:rsidR="00550B2C" w:rsidRDefault="00550B2C" w:rsidP="00550B2C">
      <w:pPr>
        <w:spacing w:line="360" w:lineRule="auto"/>
        <w:jc w:val="both"/>
        <w:rPr>
          <w:rFonts w:ascii="Arial" w:hAnsi="Arial" w:cs="Arial"/>
          <w:sz w:val="22"/>
          <w:szCs w:val="22"/>
        </w:rPr>
      </w:pPr>
      <w:r w:rsidRPr="00550B2C">
        <w:rPr>
          <w:rFonts w:ascii="Arial" w:hAnsi="Arial" w:cs="Arial"/>
          <w:sz w:val="22"/>
          <w:szCs w:val="22"/>
        </w:rPr>
        <w:t>Como se observa en la Tabla 5, la participación de Bogotá dentro de la afiliación nacional de COOSALUD EPS es marginal en términos agregados, al representar aproximadamente el 1,0% del total nacional de afiliados de la entidad. No obstante, al desagregar por régimen, se evidencia un comportamiento diferenciado: Bogotá concentra el 8,2% de los afiliados del régimen contributivo de COOSALUD EPS a nivel nacional, mientras que en el régimen subsidiado su participación corresponde apenas al 0,2%. Esta diferencia sugiere que, dentro de la operación nacional de la EPS, Bogotá tiene una presencia relativamente más significativa en el componente contributivo que en el subsidiado, pese a que este último continúa siendo el predominante en la estructura global de afiliación de la entidad a nivel país.</w:t>
      </w:r>
    </w:p>
    <w:p w14:paraId="6424CE12" w14:textId="77777777" w:rsidR="00550B2C" w:rsidRPr="00550B2C" w:rsidRDefault="00550B2C" w:rsidP="00550B2C">
      <w:pPr>
        <w:spacing w:line="360" w:lineRule="auto"/>
        <w:jc w:val="both"/>
        <w:rPr>
          <w:rFonts w:ascii="Arial" w:hAnsi="Arial" w:cs="Arial"/>
          <w:sz w:val="22"/>
          <w:szCs w:val="22"/>
        </w:rPr>
      </w:pPr>
    </w:p>
    <w:p w14:paraId="4F8D6A3E" w14:textId="77777777" w:rsidR="00550B2C" w:rsidRDefault="00550B2C" w:rsidP="00550B2C">
      <w:pPr>
        <w:spacing w:line="360" w:lineRule="auto"/>
        <w:jc w:val="both"/>
        <w:rPr>
          <w:rFonts w:ascii="Arial" w:hAnsi="Arial" w:cs="Arial"/>
          <w:sz w:val="22"/>
          <w:szCs w:val="22"/>
        </w:rPr>
      </w:pPr>
      <w:r w:rsidRPr="00550B2C">
        <w:rPr>
          <w:rFonts w:ascii="Arial" w:hAnsi="Arial" w:cs="Arial"/>
          <w:sz w:val="22"/>
          <w:szCs w:val="22"/>
        </w:rPr>
        <w:t>Lo anterior permite inferir que Bogotá no constituye uno de los principales territorios de concentración de afiliados para COOSALUD EPS en términos absolutos; sin embargo, sí representa un escenario relevante para el seguimiento institucional, en la medida en que la operación de la EPS en el Distrito debe analizarse no solo por el número de afiliados, sino también por el impacto que su desempeño puede generar sobre la red de prestación, el acceso a servicios especializados, la atención de eventos de mediana y alta complejidad y la respuesta frente a las necesidades en salud de la población asegurada. En consecuencia, aun cuando su peso porcentual dentro del total nacional es bajo, la gestión de COOSALUD EPS en Bogotá debe mantenerse bajo observación, particularmente desde la perspectiva de inspección, vigilancia y seguimiento territorial.</w:t>
      </w:r>
    </w:p>
    <w:p w14:paraId="6E986EA1" w14:textId="77777777" w:rsidR="003D4F3C" w:rsidRDefault="003D4F3C" w:rsidP="00550B2C">
      <w:pPr>
        <w:spacing w:line="360" w:lineRule="auto"/>
        <w:jc w:val="both"/>
        <w:rPr>
          <w:rFonts w:ascii="Arial" w:hAnsi="Arial" w:cs="Arial"/>
          <w:sz w:val="22"/>
          <w:szCs w:val="22"/>
        </w:rPr>
      </w:pPr>
    </w:p>
    <w:p w14:paraId="53DBF3DB" w14:textId="77777777" w:rsidR="002F4EEB" w:rsidRDefault="003D4F3C" w:rsidP="003D4F3C">
      <w:pPr>
        <w:spacing w:line="360" w:lineRule="auto"/>
        <w:jc w:val="both"/>
        <w:rPr>
          <w:rFonts w:ascii="Arial" w:hAnsi="Arial" w:cs="Arial"/>
          <w:sz w:val="22"/>
          <w:szCs w:val="22"/>
        </w:rPr>
      </w:pPr>
      <w:r w:rsidRPr="003D4F3C">
        <w:rPr>
          <w:rFonts w:ascii="Arial" w:hAnsi="Arial" w:cs="Arial"/>
          <w:sz w:val="22"/>
          <w:szCs w:val="22"/>
        </w:rPr>
        <w:t xml:space="preserve">Adicionalmente, la caracterización por rango de edad de la población afiliada a COOSALUD EPS en Bogotá permite identificar elementos relevantes para el análisis de su operación y de las necesidades de atención en salud de sus usuarios. </w:t>
      </w:r>
    </w:p>
    <w:p w14:paraId="485C2E2B" w14:textId="77777777" w:rsidR="002F4EEB" w:rsidRDefault="002F4EEB" w:rsidP="003D4F3C">
      <w:pPr>
        <w:spacing w:line="360" w:lineRule="auto"/>
        <w:jc w:val="both"/>
        <w:rPr>
          <w:rFonts w:ascii="Arial" w:hAnsi="Arial" w:cs="Arial"/>
          <w:sz w:val="22"/>
          <w:szCs w:val="22"/>
        </w:rPr>
      </w:pPr>
    </w:p>
    <w:p w14:paraId="3F9897D6" w14:textId="3826ECEE" w:rsidR="003D4F3C" w:rsidRDefault="003D4F3C" w:rsidP="003D4F3C">
      <w:pPr>
        <w:spacing w:line="360" w:lineRule="auto"/>
        <w:jc w:val="both"/>
        <w:rPr>
          <w:rFonts w:ascii="Arial" w:hAnsi="Arial" w:cs="Arial"/>
          <w:sz w:val="22"/>
          <w:szCs w:val="22"/>
        </w:rPr>
      </w:pPr>
      <w:r w:rsidRPr="003D4F3C">
        <w:rPr>
          <w:rFonts w:ascii="Arial" w:hAnsi="Arial" w:cs="Arial"/>
          <w:sz w:val="22"/>
          <w:szCs w:val="22"/>
        </w:rPr>
        <w:t xml:space="preserve">Como se observa en la Tabla 6, la mayor concentración de afiliados se encuentra en la población adulta de 29 a 59 años, que representa el 39,1% del total, equivalente a 13.485 </w:t>
      </w:r>
      <w:r w:rsidRPr="003D4F3C">
        <w:rPr>
          <w:rFonts w:ascii="Arial" w:hAnsi="Arial" w:cs="Arial"/>
          <w:sz w:val="22"/>
          <w:szCs w:val="22"/>
        </w:rPr>
        <w:lastRenderedPageBreak/>
        <w:t>usuarios, seguida por el grupo de juventud entre 18 y 28 años, con 7.978 afiliados, correspondientes al 23,1%. Por su parte, la población de 60 años y más asciende a 3.284 afiliados, que representan el 9,5% del total, proporción que, aunque menor, resulta significativa por las mayores demandas de atención asociadas a enfermedades crónicas, seguimiento clínico y continuidad en los tratamientos.</w:t>
      </w:r>
    </w:p>
    <w:p w14:paraId="5A672251" w14:textId="77777777" w:rsidR="000D3B21" w:rsidRDefault="000D3B21" w:rsidP="003D4F3C">
      <w:pPr>
        <w:spacing w:line="360" w:lineRule="auto"/>
        <w:jc w:val="both"/>
        <w:rPr>
          <w:rFonts w:ascii="Arial" w:hAnsi="Arial" w:cs="Arial"/>
          <w:sz w:val="22"/>
          <w:szCs w:val="22"/>
        </w:rPr>
      </w:pPr>
    </w:p>
    <w:p w14:paraId="4DE66505" w14:textId="0D5EA398" w:rsidR="00F81D98" w:rsidRPr="006068A2" w:rsidRDefault="00B11D92" w:rsidP="003F3C8F">
      <w:pPr>
        <w:pStyle w:val="Descripcin"/>
        <w:spacing w:after="0" w:line="360" w:lineRule="auto"/>
        <w:jc w:val="both"/>
        <w:rPr>
          <w:rFonts w:ascii="Arial" w:hAnsi="Arial" w:cs="Arial"/>
          <w:i w:val="0"/>
          <w:iCs w:val="0"/>
          <w:color w:val="auto"/>
          <w:sz w:val="22"/>
          <w:szCs w:val="22"/>
        </w:rPr>
      </w:pPr>
      <w:bookmarkStart w:id="17" w:name="_Toc229395863"/>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6</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Afiliados de Coosalud EPS por rango de edad, Bogotá, diciembre de 2025</w:t>
      </w:r>
      <w:bookmarkEnd w:id="17"/>
      <w:r w:rsidR="00F81D98" w:rsidRPr="006068A2">
        <w:rPr>
          <w:rFonts w:ascii="Arial" w:hAnsi="Arial" w:cs="Arial"/>
          <w:i w:val="0"/>
          <w:iCs w:val="0"/>
          <w:color w:val="auto"/>
          <w:sz w:val="22"/>
          <w:szCs w:val="22"/>
        </w:rPr>
        <w:fldChar w:fldCharType="begin"/>
      </w:r>
      <w:r w:rsidR="00F81D98" w:rsidRPr="006068A2">
        <w:rPr>
          <w:rFonts w:ascii="Arial" w:hAnsi="Arial" w:cs="Arial"/>
          <w:i w:val="0"/>
          <w:iCs w:val="0"/>
          <w:color w:val="auto"/>
          <w:sz w:val="22"/>
          <w:szCs w:val="22"/>
        </w:rPr>
        <w:instrText xml:space="preserve"> LINK Excel.Sheet.12 "Libro2" "Hoja1!F59C1:F66C3" \a \f 4 \h  \* MERGEFORMAT </w:instrText>
      </w:r>
      <w:r w:rsidR="00F81D98" w:rsidRPr="006068A2">
        <w:rPr>
          <w:rFonts w:ascii="Arial" w:hAnsi="Arial" w:cs="Arial"/>
          <w:i w:val="0"/>
          <w:iCs w:val="0"/>
          <w:color w:val="auto"/>
          <w:sz w:val="22"/>
          <w:szCs w:val="22"/>
        </w:rPr>
        <w:fldChar w:fldCharType="separate"/>
      </w:r>
    </w:p>
    <w:p w14:paraId="5311E582" w14:textId="77777777" w:rsidR="00D938DB" w:rsidRDefault="00D938DB" w:rsidP="006068A2">
      <w:pPr>
        <w:spacing w:line="360" w:lineRule="auto"/>
        <w:jc w:val="both"/>
        <w:rPr>
          <w:rFonts w:ascii="Arial" w:hAnsi="Arial" w:cs="Arial"/>
          <w:sz w:val="22"/>
          <w:szCs w:val="22"/>
        </w:rPr>
      </w:pPr>
    </w:p>
    <w:tbl>
      <w:tblPr>
        <w:tblStyle w:val="Tablaconcuadrcula"/>
        <w:tblW w:w="8804" w:type="dxa"/>
        <w:tblLook w:val="04A0" w:firstRow="1" w:lastRow="0" w:firstColumn="1" w:lastColumn="0" w:noHBand="0" w:noVBand="1"/>
      </w:tblPr>
      <w:tblGrid>
        <w:gridCol w:w="5631"/>
        <w:gridCol w:w="1523"/>
        <w:gridCol w:w="1650"/>
      </w:tblGrid>
      <w:tr w:rsidR="00D938DB" w:rsidRPr="00D938DB" w14:paraId="54D6C543" w14:textId="77777777" w:rsidTr="00DA2318">
        <w:trPr>
          <w:trHeight w:val="388"/>
        </w:trPr>
        <w:tc>
          <w:tcPr>
            <w:tcW w:w="0" w:type="auto"/>
            <w:vAlign w:val="center"/>
            <w:hideMark/>
          </w:tcPr>
          <w:p w14:paraId="6125F606" w14:textId="77777777" w:rsidR="00D938DB" w:rsidRPr="00D938DB" w:rsidRDefault="00D938DB" w:rsidP="00D938DB">
            <w:pPr>
              <w:spacing w:line="360" w:lineRule="auto"/>
              <w:jc w:val="center"/>
              <w:rPr>
                <w:rFonts w:ascii="Arial" w:hAnsi="Arial" w:cs="Arial"/>
                <w:b/>
                <w:bCs/>
                <w:sz w:val="22"/>
                <w:szCs w:val="22"/>
              </w:rPr>
            </w:pPr>
            <w:r w:rsidRPr="00D938DB">
              <w:rPr>
                <w:rFonts w:ascii="Arial" w:hAnsi="Arial" w:cs="Arial"/>
                <w:b/>
                <w:bCs/>
                <w:sz w:val="22"/>
                <w:szCs w:val="22"/>
              </w:rPr>
              <w:t>Rango de edad</w:t>
            </w:r>
          </w:p>
        </w:tc>
        <w:tc>
          <w:tcPr>
            <w:tcW w:w="0" w:type="auto"/>
            <w:vAlign w:val="center"/>
            <w:hideMark/>
          </w:tcPr>
          <w:p w14:paraId="085C3194" w14:textId="77777777" w:rsidR="00D938DB" w:rsidRPr="00D938DB" w:rsidRDefault="00D938DB" w:rsidP="00D938DB">
            <w:pPr>
              <w:spacing w:line="360" w:lineRule="auto"/>
              <w:jc w:val="center"/>
              <w:rPr>
                <w:rFonts w:ascii="Arial" w:hAnsi="Arial" w:cs="Arial"/>
                <w:b/>
                <w:bCs/>
                <w:sz w:val="22"/>
                <w:szCs w:val="22"/>
              </w:rPr>
            </w:pPr>
            <w:r w:rsidRPr="00D938DB">
              <w:rPr>
                <w:rFonts w:ascii="Arial" w:hAnsi="Arial" w:cs="Arial"/>
                <w:b/>
                <w:bCs/>
                <w:sz w:val="22"/>
                <w:szCs w:val="22"/>
              </w:rPr>
              <w:t>N.°</w:t>
            </w:r>
          </w:p>
        </w:tc>
        <w:tc>
          <w:tcPr>
            <w:tcW w:w="0" w:type="auto"/>
            <w:vAlign w:val="center"/>
            <w:hideMark/>
          </w:tcPr>
          <w:p w14:paraId="53E6B5BC" w14:textId="77777777" w:rsidR="00D938DB" w:rsidRPr="00D938DB" w:rsidRDefault="00D938DB" w:rsidP="00D938DB">
            <w:pPr>
              <w:spacing w:line="360" w:lineRule="auto"/>
              <w:jc w:val="center"/>
              <w:rPr>
                <w:rFonts w:ascii="Arial" w:hAnsi="Arial" w:cs="Arial"/>
                <w:b/>
                <w:bCs/>
                <w:sz w:val="22"/>
                <w:szCs w:val="22"/>
              </w:rPr>
            </w:pPr>
            <w:r w:rsidRPr="00D938DB">
              <w:rPr>
                <w:rFonts w:ascii="Arial" w:hAnsi="Arial" w:cs="Arial"/>
                <w:b/>
                <w:bCs/>
                <w:sz w:val="22"/>
                <w:szCs w:val="22"/>
              </w:rPr>
              <w:t>%</w:t>
            </w:r>
          </w:p>
        </w:tc>
      </w:tr>
      <w:tr w:rsidR="00D938DB" w:rsidRPr="00D938DB" w14:paraId="65F6EF0C" w14:textId="77777777" w:rsidTr="00DA2318">
        <w:trPr>
          <w:trHeight w:val="410"/>
        </w:trPr>
        <w:tc>
          <w:tcPr>
            <w:tcW w:w="0" w:type="auto"/>
            <w:vAlign w:val="center"/>
            <w:hideMark/>
          </w:tcPr>
          <w:p w14:paraId="4E5A7E9F"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a. Primera infancia (0 a 5 años)</w:t>
            </w:r>
          </w:p>
        </w:tc>
        <w:tc>
          <w:tcPr>
            <w:tcW w:w="0" w:type="auto"/>
            <w:vAlign w:val="center"/>
            <w:hideMark/>
          </w:tcPr>
          <w:p w14:paraId="00B86718"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2.590</w:t>
            </w:r>
          </w:p>
        </w:tc>
        <w:tc>
          <w:tcPr>
            <w:tcW w:w="0" w:type="auto"/>
            <w:vAlign w:val="center"/>
            <w:hideMark/>
          </w:tcPr>
          <w:p w14:paraId="3D57A237"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7,5%</w:t>
            </w:r>
          </w:p>
        </w:tc>
      </w:tr>
      <w:tr w:rsidR="00D938DB" w:rsidRPr="00D938DB" w14:paraId="10D80784" w14:textId="77777777" w:rsidTr="00DA2318">
        <w:trPr>
          <w:trHeight w:val="388"/>
        </w:trPr>
        <w:tc>
          <w:tcPr>
            <w:tcW w:w="0" w:type="auto"/>
            <w:vAlign w:val="center"/>
            <w:hideMark/>
          </w:tcPr>
          <w:p w14:paraId="4D3D8736"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b. Infancia (6 a 11 años)</w:t>
            </w:r>
          </w:p>
        </w:tc>
        <w:tc>
          <w:tcPr>
            <w:tcW w:w="0" w:type="auto"/>
            <w:vAlign w:val="center"/>
            <w:hideMark/>
          </w:tcPr>
          <w:p w14:paraId="4C78F304"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3.434</w:t>
            </w:r>
          </w:p>
        </w:tc>
        <w:tc>
          <w:tcPr>
            <w:tcW w:w="0" w:type="auto"/>
            <w:vAlign w:val="center"/>
            <w:hideMark/>
          </w:tcPr>
          <w:p w14:paraId="570FB678"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10,0%</w:t>
            </w:r>
          </w:p>
        </w:tc>
      </w:tr>
      <w:tr w:rsidR="00D938DB" w:rsidRPr="00D938DB" w14:paraId="41552C36" w14:textId="77777777" w:rsidTr="00DA2318">
        <w:trPr>
          <w:trHeight w:val="410"/>
        </w:trPr>
        <w:tc>
          <w:tcPr>
            <w:tcW w:w="0" w:type="auto"/>
            <w:vAlign w:val="center"/>
            <w:hideMark/>
          </w:tcPr>
          <w:p w14:paraId="4AA51856"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c. Adolescencia (12 a 17 años)</w:t>
            </w:r>
          </w:p>
        </w:tc>
        <w:tc>
          <w:tcPr>
            <w:tcW w:w="0" w:type="auto"/>
            <w:vAlign w:val="center"/>
            <w:hideMark/>
          </w:tcPr>
          <w:p w14:paraId="3AA37CB9"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3.701</w:t>
            </w:r>
          </w:p>
        </w:tc>
        <w:tc>
          <w:tcPr>
            <w:tcW w:w="0" w:type="auto"/>
            <w:vAlign w:val="center"/>
            <w:hideMark/>
          </w:tcPr>
          <w:p w14:paraId="2CF4AB1C"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10,7%</w:t>
            </w:r>
          </w:p>
        </w:tc>
      </w:tr>
      <w:tr w:rsidR="00D938DB" w:rsidRPr="00D938DB" w14:paraId="4F1AF6EC" w14:textId="77777777" w:rsidTr="00DA2318">
        <w:trPr>
          <w:trHeight w:val="388"/>
        </w:trPr>
        <w:tc>
          <w:tcPr>
            <w:tcW w:w="0" w:type="auto"/>
            <w:vAlign w:val="center"/>
            <w:hideMark/>
          </w:tcPr>
          <w:p w14:paraId="7B8DE1B0"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d. Juventud (18 a 28 años)</w:t>
            </w:r>
          </w:p>
        </w:tc>
        <w:tc>
          <w:tcPr>
            <w:tcW w:w="0" w:type="auto"/>
            <w:vAlign w:val="center"/>
            <w:hideMark/>
          </w:tcPr>
          <w:p w14:paraId="0D18277C"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7.978</w:t>
            </w:r>
          </w:p>
        </w:tc>
        <w:tc>
          <w:tcPr>
            <w:tcW w:w="0" w:type="auto"/>
            <w:vAlign w:val="center"/>
            <w:hideMark/>
          </w:tcPr>
          <w:p w14:paraId="72AF6DFA"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23,1%</w:t>
            </w:r>
          </w:p>
        </w:tc>
      </w:tr>
      <w:tr w:rsidR="00D938DB" w:rsidRPr="00D938DB" w14:paraId="0024F8FD" w14:textId="77777777" w:rsidTr="00DA2318">
        <w:trPr>
          <w:trHeight w:val="388"/>
        </w:trPr>
        <w:tc>
          <w:tcPr>
            <w:tcW w:w="0" w:type="auto"/>
            <w:vAlign w:val="center"/>
            <w:hideMark/>
          </w:tcPr>
          <w:p w14:paraId="587F932D"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e. Adultez (29 a 59 años)</w:t>
            </w:r>
          </w:p>
        </w:tc>
        <w:tc>
          <w:tcPr>
            <w:tcW w:w="0" w:type="auto"/>
            <w:vAlign w:val="center"/>
            <w:hideMark/>
          </w:tcPr>
          <w:p w14:paraId="313DFE37"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13.485</w:t>
            </w:r>
          </w:p>
        </w:tc>
        <w:tc>
          <w:tcPr>
            <w:tcW w:w="0" w:type="auto"/>
            <w:vAlign w:val="center"/>
            <w:hideMark/>
          </w:tcPr>
          <w:p w14:paraId="324E47CB"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39,1%</w:t>
            </w:r>
          </w:p>
        </w:tc>
      </w:tr>
      <w:tr w:rsidR="00D938DB" w:rsidRPr="00D938DB" w14:paraId="7042192B" w14:textId="77777777" w:rsidTr="00DA2318">
        <w:trPr>
          <w:trHeight w:val="388"/>
        </w:trPr>
        <w:tc>
          <w:tcPr>
            <w:tcW w:w="0" w:type="auto"/>
            <w:vAlign w:val="center"/>
            <w:hideMark/>
          </w:tcPr>
          <w:p w14:paraId="2570A4E7"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f. Vejez (60 años y más)</w:t>
            </w:r>
          </w:p>
        </w:tc>
        <w:tc>
          <w:tcPr>
            <w:tcW w:w="0" w:type="auto"/>
            <w:vAlign w:val="center"/>
            <w:hideMark/>
          </w:tcPr>
          <w:p w14:paraId="6D730516"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3.284</w:t>
            </w:r>
          </w:p>
        </w:tc>
        <w:tc>
          <w:tcPr>
            <w:tcW w:w="0" w:type="auto"/>
            <w:vAlign w:val="center"/>
            <w:hideMark/>
          </w:tcPr>
          <w:p w14:paraId="70971D0B"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sz w:val="22"/>
                <w:szCs w:val="22"/>
              </w:rPr>
              <w:t>9,5%</w:t>
            </w:r>
          </w:p>
        </w:tc>
      </w:tr>
      <w:tr w:rsidR="00D938DB" w:rsidRPr="00D938DB" w14:paraId="0415BFF2" w14:textId="77777777" w:rsidTr="00DA2318">
        <w:trPr>
          <w:trHeight w:val="388"/>
        </w:trPr>
        <w:tc>
          <w:tcPr>
            <w:tcW w:w="0" w:type="auto"/>
            <w:vAlign w:val="center"/>
            <w:hideMark/>
          </w:tcPr>
          <w:p w14:paraId="32CC6F4C" w14:textId="6A5FFA9F" w:rsidR="00D938DB" w:rsidRPr="00D938DB" w:rsidRDefault="00633DE6" w:rsidP="00D938DB">
            <w:pPr>
              <w:spacing w:line="360" w:lineRule="auto"/>
              <w:jc w:val="both"/>
              <w:rPr>
                <w:rFonts w:ascii="Arial" w:hAnsi="Arial" w:cs="Arial"/>
                <w:sz w:val="22"/>
                <w:szCs w:val="22"/>
              </w:rPr>
            </w:pPr>
            <w:r w:rsidRPr="00D938DB">
              <w:rPr>
                <w:rFonts w:ascii="Arial" w:hAnsi="Arial" w:cs="Arial"/>
                <w:b/>
                <w:bCs/>
                <w:sz w:val="22"/>
                <w:szCs w:val="22"/>
              </w:rPr>
              <w:t>Total,</w:t>
            </w:r>
            <w:r w:rsidR="00D938DB" w:rsidRPr="00D938DB">
              <w:rPr>
                <w:rFonts w:ascii="Arial" w:hAnsi="Arial" w:cs="Arial"/>
                <w:b/>
                <w:bCs/>
                <w:sz w:val="22"/>
                <w:szCs w:val="22"/>
              </w:rPr>
              <w:t xml:space="preserve"> general</w:t>
            </w:r>
          </w:p>
        </w:tc>
        <w:tc>
          <w:tcPr>
            <w:tcW w:w="0" w:type="auto"/>
            <w:vAlign w:val="center"/>
            <w:hideMark/>
          </w:tcPr>
          <w:p w14:paraId="67D68701"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b/>
                <w:bCs/>
                <w:sz w:val="22"/>
                <w:szCs w:val="22"/>
              </w:rPr>
              <w:t>34.472</w:t>
            </w:r>
          </w:p>
        </w:tc>
        <w:tc>
          <w:tcPr>
            <w:tcW w:w="0" w:type="auto"/>
            <w:vAlign w:val="center"/>
            <w:hideMark/>
          </w:tcPr>
          <w:p w14:paraId="2C062DBF" w14:textId="77777777" w:rsidR="00D938DB" w:rsidRPr="00D938DB" w:rsidRDefault="00D938DB" w:rsidP="00D938DB">
            <w:pPr>
              <w:spacing w:line="360" w:lineRule="auto"/>
              <w:jc w:val="both"/>
              <w:rPr>
                <w:rFonts w:ascii="Arial" w:hAnsi="Arial" w:cs="Arial"/>
                <w:sz w:val="22"/>
                <w:szCs w:val="22"/>
              </w:rPr>
            </w:pPr>
            <w:r w:rsidRPr="00D938DB">
              <w:rPr>
                <w:rFonts w:ascii="Arial" w:hAnsi="Arial" w:cs="Arial"/>
                <w:b/>
                <w:bCs/>
                <w:sz w:val="22"/>
                <w:szCs w:val="22"/>
              </w:rPr>
              <w:t>100,0%</w:t>
            </w:r>
          </w:p>
        </w:tc>
      </w:tr>
    </w:tbl>
    <w:p w14:paraId="12E27156" w14:textId="709E9666" w:rsidR="00F81D98" w:rsidRPr="005D62BA" w:rsidRDefault="00F81D98" w:rsidP="006068A2">
      <w:pPr>
        <w:spacing w:line="360" w:lineRule="auto"/>
        <w:jc w:val="both"/>
        <w:rPr>
          <w:rFonts w:ascii="Arial" w:hAnsi="Arial" w:cs="Arial"/>
          <w:sz w:val="16"/>
          <w:szCs w:val="16"/>
          <w:lang w:val="es-ES"/>
        </w:rPr>
      </w:pPr>
      <w:r w:rsidRPr="006068A2">
        <w:rPr>
          <w:rFonts w:ascii="Arial" w:hAnsi="Arial" w:cs="Arial"/>
          <w:sz w:val="22"/>
          <w:szCs w:val="22"/>
        </w:rPr>
        <w:fldChar w:fldCharType="end"/>
      </w:r>
      <w:r w:rsidRPr="005D62BA">
        <w:rPr>
          <w:rFonts w:ascii="Arial" w:hAnsi="Arial" w:cs="Arial"/>
          <w:sz w:val="16"/>
          <w:szCs w:val="16"/>
          <w:lang w:val="es-ES"/>
        </w:rPr>
        <w:t xml:space="preserve">Fuentes: * Contributivo BDUA - ADRES, corte a 31 de </w:t>
      </w:r>
      <w:r w:rsidR="005D62BA" w:rsidRPr="005D62BA">
        <w:rPr>
          <w:rFonts w:ascii="Arial" w:hAnsi="Arial" w:cs="Arial"/>
          <w:sz w:val="16"/>
          <w:szCs w:val="16"/>
          <w:lang w:val="es-ES"/>
        </w:rPr>
        <w:t>diciembre</w:t>
      </w:r>
      <w:r w:rsidRPr="005D62BA">
        <w:rPr>
          <w:rFonts w:ascii="Arial" w:hAnsi="Arial" w:cs="Arial"/>
          <w:sz w:val="16"/>
          <w:szCs w:val="16"/>
          <w:lang w:val="es-ES"/>
        </w:rPr>
        <w:t xml:space="preserve"> de 2025. * Subsidiado BDUA - ADRES, corte a 31 de </w:t>
      </w:r>
      <w:r w:rsidR="002B65B6" w:rsidRPr="005D62BA">
        <w:rPr>
          <w:rFonts w:ascii="Arial" w:hAnsi="Arial" w:cs="Arial"/>
          <w:sz w:val="16"/>
          <w:szCs w:val="16"/>
          <w:lang w:val="es-ES"/>
        </w:rPr>
        <w:t>diciembre</w:t>
      </w:r>
      <w:r w:rsidRPr="005D62BA">
        <w:rPr>
          <w:rFonts w:ascii="Arial" w:hAnsi="Arial" w:cs="Arial"/>
          <w:sz w:val="16"/>
          <w:szCs w:val="16"/>
          <w:lang w:val="es-ES"/>
        </w:rPr>
        <w:t xml:space="preserve"> de 2025. </w:t>
      </w:r>
    </w:p>
    <w:p w14:paraId="2811A045" w14:textId="77777777" w:rsidR="00A637D7" w:rsidRPr="006068A2" w:rsidRDefault="00A637D7" w:rsidP="006068A2">
      <w:pPr>
        <w:spacing w:line="360" w:lineRule="auto"/>
        <w:jc w:val="both"/>
        <w:rPr>
          <w:rFonts w:ascii="Arial" w:hAnsi="Arial" w:cs="Arial"/>
          <w:sz w:val="22"/>
          <w:szCs w:val="22"/>
        </w:rPr>
      </w:pPr>
    </w:p>
    <w:bookmarkEnd w:id="15"/>
    <w:p w14:paraId="2410D4D6" w14:textId="4A12E703" w:rsidR="00F81D98" w:rsidRDefault="00DA2318" w:rsidP="006068A2">
      <w:pPr>
        <w:spacing w:line="360" w:lineRule="auto"/>
        <w:jc w:val="both"/>
        <w:rPr>
          <w:rFonts w:ascii="Arial" w:hAnsi="Arial" w:cs="Arial"/>
          <w:sz w:val="22"/>
          <w:szCs w:val="22"/>
        </w:rPr>
      </w:pPr>
      <w:r w:rsidRPr="00DA2318">
        <w:rPr>
          <w:rFonts w:ascii="Arial" w:hAnsi="Arial" w:cs="Arial"/>
          <w:sz w:val="22"/>
          <w:szCs w:val="22"/>
        </w:rPr>
        <w:t>En conjunto, esta estructura etaria sugiere la necesidad de fortalecer acciones de gestión del riesgo, promoción de la salud, prevención de enfermedad crónica y articulación efectiva de rutas de atención, particularmente en los grupos de mayor peso poblacional. En este contexto, si bien COOSALUD EPS constituye un actor menor del aseguramiento en salud en Bogotá, al concentrar el 0,4% del total de afiliados del Distrito, equivalente a 34.472 usuarios, su operación requiere un seguimiento específico, en la medida en que las características demográficas de su población afiliada pueden traducirse en necesidades particulares de acceso, oportunidad y continuidad de la atención.</w:t>
      </w:r>
    </w:p>
    <w:p w14:paraId="5E46CF63" w14:textId="77777777" w:rsidR="00897D61" w:rsidRDefault="00897D61" w:rsidP="006068A2">
      <w:pPr>
        <w:spacing w:line="360" w:lineRule="auto"/>
        <w:jc w:val="both"/>
        <w:rPr>
          <w:rFonts w:ascii="Arial" w:hAnsi="Arial" w:cs="Arial"/>
          <w:sz w:val="22"/>
          <w:szCs w:val="22"/>
        </w:rPr>
      </w:pPr>
    </w:p>
    <w:p w14:paraId="438E3855" w14:textId="77777777" w:rsidR="00897D61" w:rsidRDefault="00897D61" w:rsidP="006068A2">
      <w:pPr>
        <w:spacing w:line="360" w:lineRule="auto"/>
        <w:jc w:val="both"/>
        <w:rPr>
          <w:rFonts w:ascii="Arial" w:hAnsi="Arial" w:cs="Arial"/>
          <w:sz w:val="22"/>
          <w:szCs w:val="22"/>
        </w:rPr>
      </w:pPr>
    </w:p>
    <w:p w14:paraId="0F7534A5" w14:textId="77777777" w:rsidR="00897D61" w:rsidRDefault="00897D61" w:rsidP="006068A2">
      <w:pPr>
        <w:spacing w:line="360" w:lineRule="auto"/>
        <w:jc w:val="both"/>
        <w:rPr>
          <w:rFonts w:ascii="Arial" w:hAnsi="Arial" w:cs="Arial"/>
          <w:sz w:val="22"/>
          <w:szCs w:val="22"/>
        </w:rPr>
      </w:pPr>
    </w:p>
    <w:p w14:paraId="7A815C3B" w14:textId="77777777" w:rsidR="00897D61" w:rsidRDefault="00897D61" w:rsidP="006068A2">
      <w:pPr>
        <w:spacing w:line="360" w:lineRule="auto"/>
        <w:jc w:val="both"/>
        <w:rPr>
          <w:rFonts w:ascii="Arial" w:hAnsi="Arial" w:cs="Arial"/>
          <w:sz w:val="22"/>
          <w:szCs w:val="22"/>
        </w:rPr>
      </w:pPr>
    </w:p>
    <w:p w14:paraId="19571D88" w14:textId="77777777" w:rsidR="00DA2318" w:rsidRPr="006068A2" w:rsidRDefault="00DA2318" w:rsidP="006068A2">
      <w:pPr>
        <w:spacing w:line="360" w:lineRule="auto"/>
        <w:jc w:val="both"/>
        <w:rPr>
          <w:rFonts w:ascii="Arial" w:hAnsi="Arial" w:cs="Arial"/>
          <w:b/>
          <w:bCs/>
          <w:sz w:val="22"/>
          <w:szCs w:val="22"/>
        </w:rPr>
      </w:pPr>
    </w:p>
    <w:p w14:paraId="69EFCC90" w14:textId="13740D17" w:rsidR="000C4AE0" w:rsidRPr="006068A2" w:rsidRDefault="00B73EA3" w:rsidP="006068A2">
      <w:pPr>
        <w:pStyle w:val="Ttulo1"/>
        <w:numPr>
          <w:ilvl w:val="0"/>
          <w:numId w:val="9"/>
        </w:numPr>
        <w:spacing w:before="0" w:line="360" w:lineRule="auto"/>
        <w:jc w:val="both"/>
        <w:rPr>
          <w:rFonts w:ascii="Arial" w:eastAsia="Arial" w:hAnsi="Arial" w:cs="Arial"/>
          <w:b/>
          <w:bCs/>
          <w:color w:val="auto"/>
          <w:sz w:val="22"/>
          <w:szCs w:val="22"/>
        </w:rPr>
      </w:pPr>
      <w:bookmarkStart w:id="18" w:name="_Toc229397832"/>
      <w:r w:rsidRPr="006068A2">
        <w:rPr>
          <w:rFonts w:ascii="Arial" w:eastAsia="Arial" w:hAnsi="Arial" w:cs="Arial"/>
          <w:b/>
          <w:bCs/>
          <w:color w:val="auto"/>
          <w:sz w:val="22"/>
          <w:szCs w:val="22"/>
        </w:rPr>
        <w:lastRenderedPageBreak/>
        <w:t>OBJETIVOS</w:t>
      </w:r>
      <w:bookmarkEnd w:id="18"/>
    </w:p>
    <w:p w14:paraId="1BA55E44" w14:textId="77777777" w:rsidR="00A73AD2" w:rsidRPr="006068A2" w:rsidRDefault="00A73AD2" w:rsidP="006068A2">
      <w:pPr>
        <w:spacing w:line="360" w:lineRule="auto"/>
        <w:jc w:val="both"/>
        <w:rPr>
          <w:rFonts w:ascii="Arial" w:eastAsia="Arial" w:hAnsi="Arial" w:cs="Arial"/>
          <w:sz w:val="22"/>
          <w:szCs w:val="22"/>
        </w:rPr>
      </w:pPr>
    </w:p>
    <w:p w14:paraId="7FD4146E" w14:textId="4F126BC9" w:rsidR="000C4AE0" w:rsidRPr="006068A2" w:rsidRDefault="000C4AE0" w:rsidP="006068A2">
      <w:pPr>
        <w:pStyle w:val="Ttulo2"/>
        <w:numPr>
          <w:ilvl w:val="1"/>
          <w:numId w:val="9"/>
        </w:numPr>
        <w:spacing w:before="0" w:line="360" w:lineRule="auto"/>
        <w:jc w:val="both"/>
        <w:rPr>
          <w:rFonts w:ascii="Arial" w:eastAsia="Arial" w:hAnsi="Arial" w:cs="Arial"/>
          <w:b/>
          <w:bCs/>
          <w:color w:val="auto"/>
          <w:sz w:val="22"/>
          <w:szCs w:val="22"/>
        </w:rPr>
      </w:pPr>
      <w:bookmarkStart w:id="19" w:name="_Toc229397833"/>
      <w:r w:rsidRPr="006068A2">
        <w:rPr>
          <w:rFonts w:ascii="Arial" w:eastAsia="Arial" w:hAnsi="Arial" w:cs="Arial"/>
          <w:b/>
          <w:bCs/>
          <w:color w:val="auto"/>
          <w:sz w:val="22"/>
          <w:szCs w:val="22"/>
        </w:rPr>
        <w:t>Objetivo general</w:t>
      </w:r>
      <w:bookmarkEnd w:id="19"/>
    </w:p>
    <w:p w14:paraId="3D5F03A0" w14:textId="77777777" w:rsidR="007F05D9" w:rsidRDefault="007F05D9" w:rsidP="007F05D9">
      <w:pPr>
        <w:spacing w:line="360" w:lineRule="auto"/>
        <w:jc w:val="both"/>
        <w:rPr>
          <w:rFonts w:ascii="Arial" w:eastAsia="Arial" w:hAnsi="Arial" w:cs="Arial"/>
          <w:sz w:val="22"/>
          <w:szCs w:val="22"/>
          <w:lang w:val="es-ES"/>
        </w:rPr>
      </w:pPr>
    </w:p>
    <w:p w14:paraId="4A897076" w14:textId="589092DD" w:rsidR="00045103" w:rsidRPr="006068A2" w:rsidRDefault="00045103" w:rsidP="007F05D9">
      <w:pPr>
        <w:spacing w:line="360" w:lineRule="auto"/>
        <w:jc w:val="both"/>
        <w:rPr>
          <w:rFonts w:ascii="Arial" w:eastAsia="Arial" w:hAnsi="Arial" w:cs="Arial"/>
          <w:sz w:val="22"/>
          <w:szCs w:val="22"/>
          <w:lang w:val="es-ES"/>
        </w:rPr>
      </w:pPr>
      <w:r w:rsidRPr="006068A2">
        <w:rPr>
          <w:rFonts w:ascii="Arial" w:eastAsia="Arial" w:hAnsi="Arial" w:cs="Arial"/>
          <w:sz w:val="22"/>
          <w:szCs w:val="22"/>
          <w:lang w:val="es-ES"/>
        </w:rPr>
        <w:t xml:space="preserve">Analizar de manera integral la operación de la </w:t>
      </w:r>
      <w:r w:rsidR="0048032B" w:rsidRPr="006068A2">
        <w:rPr>
          <w:rFonts w:ascii="Arial" w:eastAsia="Arial" w:hAnsi="Arial" w:cs="Arial"/>
          <w:sz w:val="22"/>
          <w:szCs w:val="22"/>
          <w:lang w:val="es-ES"/>
        </w:rPr>
        <w:t>EPS COOSALUD</w:t>
      </w:r>
      <w:r w:rsidRPr="006068A2">
        <w:rPr>
          <w:rFonts w:ascii="Arial" w:eastAsia="Arial" w:hAnsi="Arial" w:cs="Arial"/>
          <w:sz w:val="22"/>
          <w:szCs w:val="22"/>
          <w:lang w:val="es-ES"/>
        </w:rPr>
        <w:t xml:space="preserve"> en Bogotá, a partir del estudio de las </w:t>
      </w:r>
      <w:r w:rsidR="00F83395" w:rsidRPr="006068A2">
        <w:rPr>
          <w:rFonts w:ascii="Arial" w:eastAsia="Arial" w:hAnsi="Arial" w:cs="Arial"/>
          <w:sz w:val="22"/>
          <w:szCs w:val="22"/>
          <w:lang w:val="es-ES"/>
        </w:rPr>
        <w:t>PQRSD</w:t>
      </w:r>
      <w:r w:rsidRPr="006068A2">
        <w:rPr>
          <w:rFonts w:ascii="Arial" w:eastAsia="Arial" w:hAnsi="Arial" w:cs="Arial"/>
          <w:sz w:val="22"/>
          <w:szCs w:val="22"/>
          <w:lang w:val="es-ES"/>
        </w:rPr>
        <w:t xml:space="preserve"> ciudadanas, el desempeño financiero, los resultados en salud y la gestión del riesgo, con el fin de sustentar la toma de decisiones estratégicas de la Secretaría Distrital de Salud, en su calidad de Ente Territorial.</w:t>
      </w:r>
    </w:p>
    <w:p w14:paraId="26AFCF12" w14:textId="77777777" w:rsidR="000C4AE0" w:rsidRPr="006068A2" w:rsidRDefault="000C4AE0" w:rsidP="006068A2">
      <w:pPr>
        <w:spacing w:line="360" w:lineRule="auto"/>
        <w:jc w:val="both"/>
        <w:rPr>
          <w:rFonts w:ascii="Arial" w:eastAsia="Arial" w:hAnsi="Arial" w:cs="Arial"/>
          <w:sz w:val="22"/>
          <w:szCs w:val="22"/>
        </w:rPr>
      </w:pPr>
    </w:p>
    <w:p w14:paraId="41A7A0F5" w14:textId="7B271EE2" w:rsidR="000C4AE0" w:rsidRPr="006068A2" w:rsidRDefault="000C4AE0" w:rsidP="006068A2">
      <w:pPr>
        <w:pStyle w:val="Ttulo2"/>
        <w:numPr>
          <w:ilvl w:val="1"/>
          <w:numId w:val="9"/>
        </w:numPr>
        <w:spacing w:before="0" w:line="360" w:lineRule="auto"/>
        <w:jc w:val="both"/>
        <w:rPr>
          <w:rFonts w:ascii="Arial" w:eastAsia="Arial" w:hAnsi="Arial" w:cs="Arial"/>
          <w:b/>
          <w:bCs/>
          <w:color w:val="auto"/>
          <w:sz w:val="22"/>
          <w:szCs w:val="22"/>
        </w:rPr>
      </w:pPr>
      <w:bookmarkStart w:id="20" w:name="_Toc229397834"/>
      <w:r w:rsidRPr="006068A2">
        <w:rPr>
          <w:rFonts w:ascii="Arial" w:eastAsia="Arial" w:hAnsi="Arial" w:cs="Arial"/>
          <w:b/>
          <w:bCs/>
          <w:color w:val="auto"/>
          <w:sz w:val="22"/>
          <w:szCs w:val="22"/>
        </w:rPr>
        <w:t>Objetivos específicos</w:t>
      </w:r>
      <w:bookmarkEnd w:id="20"/>
    </w:p>
    <w:p w14:paraId="08350934" w14:textId="3B298B70" w:rsidR="3FE75128" w:rsidRPr="006068A2" w:rsidRDefault="3FE75128" w:rsidP="00E436AE">
      <w:pPr>
        <w:spacing w:line="360" w:lineRule="auto"/>
        <w:jc w:val="both"/>
        <w:rPr>
          <w:rStyle w:val="s1"/>
          <w:rFonts w:ascii="Arial" w:eastAsia="Arial" w:hAnsi="Arial" w:cs="Arial"/>
          <w:sz w:val="22"/>
          <w:szCs w:val="22"/>
        </w:rPr>
      </w:pPr>
    </w:p>
    <w:p w14:paraId="77D54847" w14:textId="77777777" w:rsidR="00E436AE" w:rsidRDefault="00F03D33"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rPr>
        <w:t xml:space="preserve">Examinar el comportamiento de las </w:t>
      </w:r>
      <w:r w:rsidR="00F83395" w:rsidRPr="00E436AE">
        <w:rPr>
          <w:rStyle w:val="s1"/>
          <w:rFonts w:ascii="Arial" w:eastAsia="Arial" w:hAnsi="Arial" w:cs="Arial"/>
          <w:sz w:val="22"/>
          <w:szCs w:val="22"/>
        </w:rPr>
        <w:t>PQRSD</w:t>
      </w:r>
      <w:r w:rsidRPr="00E436AE">
        <w:rPr>
          <w:rStyle w:val="s1"/>
          <w:rFonts w:ascii="Arial" w:eastAsia="Arial" w:hAnsi="Arial" w:cs="Arial"/>
          <w:sz w:val="22"/>
          <w:szCs w:val="22"/>
        </w:rPr>
        <w:t xml:space="preserve"> Ciudadanas —Peticiones, Quejas, Reclamos, Sugerencias y Denuncias (PQRS)—, evaluando su volumen, tipología, oportunidad de respuesta y efectividad en la gestión, e identificando su relación con las principales barreras de acceso a los servicios de salud en Bogotá D. C.</w:t>
      </w:r>
    </w:p>
    <w:p w14:paraId="383CF71C" w14:textId="77777777" w:rsidR="00E436AE" w:rsidRDefault="00E436AE" w:rsidP="00E436AE">
      <w:pPr>
        <w:pStyle w:val="Prrafodelista"/>
        <w:spacing w:line="360" w:lineRule="auto"/>
        <w:ind w:left="360"/>
        <w:jc w:val="both"/>
        <w:rPr>
          <w:rStyle w:val="s1"/>
          <w:rFonts w:ascii="Arial" w:eastAsia="Arial" w:hAnsi="Arial" w:cs="Arial"/>
          <w:sz w:val="22"/>
          <w:szCs w:val="22"/>
        </w:rPr>
      </w:pPr>
    </w:p>
    <w:p w14:paraId="7861EBA8" w14:textId="77777777" w:rsidR="00E436AE" w:rsidRDefault="00217364"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rPr>
        <w:t xml:space="preserve">Evaluar la gestión del riesgo en salud de </w:t>
      </w:r>
      <w:r w:rsidR="0048032B" w:rsidRPr="00E436AE">
        <w:rPr>
          <w:rStyle w:val="s1"/>
          <w:rFonts w:ascii="Arial" w:eastAsia="Arial" w:hAnsi="Arial" w:cs="Arial"/>
          <w:sz w:val="22"/>
          <w:szCs w:val="22"/>
        </w:rPr>
        <w:t xml:space="preserve">EPS COOSALUD </w:t>
      </w:r>
      <w:r w:rsidRPr="00E436AE">
        <w:rPr>
          <w:rStyle w:val="s1"/>
          <w:rFonts w:ascii="Arial" w:eastAsia="Arial" w:hAnsi="Arial" w:cs="Arial"/>
          <w:sz w:val="22"/>
          <w:szCs w:val="22"/>
        </w:rPr>
        <w:t xml:space="preserve">con énfasis en la implementación de la Ruta Integral de Atención Materno Perinatal, a partir del análisis de eventos trazadores </w:t>
      </w:r>
      <w:r w:rsidR="00425868" w:rsidRPr="00E436AE">
        <w:rPr>
          <w:rStyle w:val="s1"/>
          <w:rFonts w:ascii="Arial" w:eastAsia="Arial" w:hAnsi="Arial" w:cs="Arial"/>
          <w:sz w:val="22"/>
          <w:szCs w:val="22"/>
        </w:rPr>
        <w:t>como</w:t>
      </w:r>
      <w:r w:rsidRPr="00E436AE">
        <w:rPr>
          <w:rStyle w:val="s1"/>
          <w:rFonts w:ascii="Arial" w:eastAsia="Arial" w:hAnsi="Arial" w:cs="Arial"/>
          <w:sz w:val="22"/>
          <w:szCs w:val="22"/>
        </w:rPr>
        <w:t xml:space="preserve"> mortalidad materna</w:t>
      </w:r>
      <w:r w:rsidR="00425868" w:rsidRPr="00E436AE">
        <w:rPr>
          <w:rStyle w:val="s1"/>
          <w:rFonts w:ascii="Arial" w:eastAsia="Arial" w:hAnsi="Arial" w:cs="Arial"/>
          <w:sz w:val="22"/>
          <w:szCs w:val="22"/>
        </w:rPr>
        <w:t xml:space="preserve"> e infantil, así como</w:t>
      </w:r>
      <w:r w:rsidRPr="00E436AE">
        <w:rPr>
          <w:rStyle w:val="s1"/>
          <w:rFonts w:ascii="Arial" w:eastAsia="Arial" w:hAnsi="Arial" w:cs="Arial"/>
          <w:sz w:val="22"/>
          <w:szCs w:val="22"/>
        </w:rPr>
        <w:t xml:space="preserve"> de las acciones de demanda inducida orientadas a la identificación y seguimiento de gestantes en riesgo.</w:t>
      </w:r>
    </w:p>
    <w:p w14:paraId="5F9A80D8" w14:textId="77777777" w:rsidR="00E436AE" w:rsidRPr="00E436AE" w:rsidRDefault="00E436AE" w:rsidP="00E436AE">
      <w:pPr>
        <w:pStyle w:val="Prrafodelista"/>
        <w:rPr>
          <w:rStyle w:val="s1"/>
          <w:rFonts w:ascii="Arial" w:eastAsia="Arial" w:hAnsi="Arial" w:cs="Arial"/>
          <w:sz w:val="22"/>
          <w:szCs w:val="22"/>
          <w:lang w:val="es-ES"/>
        </w:rPr>
      </w:pPr>
    </w:p>
    <w:p w14:paraId="62336377" w14:textId="77777777" w:rsidR="00E436AE" w:rsidRPr="00E436AE" w:rsidRDefault="00217364"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lang w:val="es-ES"/>
        </w:rPr>
        <w:t>Analizar la oportunidad, suficiencia y funcionamiento de la red prestadora de servicios de salud, a partir de indicadores de oportunidad en la asignación de citas y de la gestión de la entidad, con el fin de identificar barreras administrativas y operativas que afecten el acceso efectivo, la continuidad y la resolutividad de la atención.</w:t>
      </w:r>
    </w:p>
    <w:p w14:paraId="687BC204" w14:textId="77777777" w:rsidR="00E436AE" w:rsidRPr="00E436AE" w:rsidRDefault="00E436AE" w:rsidP="00E436AE">
      <w:pPr>
        <w:pStyle w:val="Prrafodelista"/>
        <w:rPr>
          <w:rStyle w:val="s1"/>
          <w:rFonts w:ascii="Arial" w:eastAsia="Arial" w:hAnsi="Arial" w:cs="Arial"/>
          <w:sz w:val="22"/>
          <w:szCs w:val="22"/>
        </w:rPr>
      </w:pPr>
    </w:p>
    <w:p w14:paraId="068FE671" w14:textId="67487813" w:rsidR="00EB3290" w:rsidRPr="00E436AE" w:rsidRDefault="00EB3290" w:rsidP="00E436AE">
      <w:pPr>
        <w:pStyle w:val="Prrafodelista"/>
        <w:numPr>
          <w:ilvl w:val="0"/>
          <w:numId w:val="17"/>
        </w:numPr>
        <w:spacing w:line="360" w:lineRule="auto"/>
        <w:jc w:val="both"/>
        <w:rPr>
          <w:rStyle w:val="s1"/>
          <w:rFonts w:ascii="Arial" w:eastAsia="Arial" w:hAnsi="Arial" w:cs="Arial"/>
          <w:sz w:val="22"/>
          <w:szCs w:val="22"/>
        </w:rPr>
      </w:pPr>
      <w:r w:rsidRPr="00E436AE">
        <w:rPr>
          <w:rStyle w:val="s1"/>
          <w:rFonts w:ascii="Arial" w:eastAsia="Arial" w:hAnsi="Arial" w:cs="Arial"/>
          <w:sz w:val="22"/>
          <w:szCs w:val="22"/>
        </w:rPr>
        <w:t xml:space="preserve">Analizar la situación financiera y la solvencia de la </w:t>
      </w:r>
      <w:r w:rsidR="00CE2C96" w:rsidRPr="00E436AE">
        <w:rPr>
          <w:rStyle w:val="s1"/>
          <w:rFonts w:ascii="Arial" w:eastAsia="Arial" w:hAnsi="Arial" w:cs="Arial"/>
          <w:sz w:val="22"/>
          <w:szCs w:val="22"/>
        </w:rPr>
        <w:t>EPS</w:t>
      </w:r>
      <w:r w:rsidR="0048032B" w:rsidRPr="00E436AE">
        <w:rPr>
          <w:rStyle w:val="s1"/>
          <w:rFonts w:ascii="Arial" w:eastAsia="Arial" w:hAnsi="Arial" w:cs="Arial"/>
          <w:sz w:val="22"/>
          <w:szCs w:val="22"/>
        </w:rPr>
        <w:t xml:space="preserve"> COOSALUD</w:t>
      </w:r>
      <w:r w:rsidRPr="00E436AE">
        <w:rPr>
          <w:rStyle w:val="s1"/>
          <w:rFonts w:ascii="Arial" w:eastAsia="Arial" w:hAnsi="Arial" w:cs="Arial"/>
          <w:sz w:val="22"/>
          <w:szCs w:val="22"/>
        </w:rPr>
        <w:t xml:space="preserve"> mediante la revisión de sus principales indicadores financieros y su evolución, para valorar su incidencia en la capacidad de la entidad de garantizar la continuidad, oportunidad y calidad en la prestación de los servicios de salud.</w:t>
      </w:r>
    </w:p>
    <w:p w14:paraId="07D4B77D" w14:textId="77777777" w:rsidR="00EB3290" w:rsidRDefault="00EB3290" w:rsidP="006068A2">
      <w:pPr>
        <w:pStyle w:val="Prrafodelista"/>
        <w:spacing w:line="360" w:lineRule="auto"/>
        <w:ind w:left="360"/>
        <w:jc w:val="both"/>
        <w:rPr>
          <w:rStyle w:val="s1"/>
          <w:rFonts w:ascii="Arial" w:eastAsia="Arial" w:hAnsi="Arial" w:cs="Arial"/>
          <w:sz w:val="22"/>
          <w:szCs w:val="22"/>
        </w:rPr>
      </w:pPr>
    </w:p>
    <w:p w14:paraId="743B74EC" w14:textId="77777777" w:rsidR="00897D61" w:rsidRDefault="00897D61" w:rsidP="006068A2">
      <w:pPr>
        <w:pStyle w:val="Prrafodelista"/>
        <w:spacing w:line="360" w:lineRule="auto"/>
        <w:ind w:left="360"/>
        <w:jc w:val="both"/>
        <w:rPr>
          <w:rStyle w:val="s1"/>
          <w:rFonts w:ascii="Arial" w:eastAsia="Arial" w:hAnsi="Arial" w:cs="Arial"/>
          <w:sz w:val="22"/>
          <w:szCs w:val="22"/>
        </w:rPr>
      </w:pPr>
    </w:p>
    <w:p w14:paraId="5C4A4CDD" w14:textId="77777777" w:rsidR="00897D61" w:rsidRDefault="00897D61" w:rsidP="006068A2">
      <w:pPr>
        <w:pStyle w:val="Prrafodelista"/>
        <w:spacing w:line="360" w:lineRule="auto"/>
        <w:ind w:left="360"/>
        <w:jc w:val="both"/>
        <w:rPr>
          <w:rStyle w:val="s1"/>
          <w:rFonts w:ascii="Arial" w:eastAsia="Arial" w:hAnsi="Arial" w:cs="Arial"/>
          <w:sz w:val="22"/>
          <w:szCs w:val="22"/>
        </w:rPr>
      </w:pPr>
    </w:p>
    <w:p w14:paraId="47A151FD" w14:textId="77777777" w:rsidR="00897D61" w:rsidRPr="006068A2" w:rsidRDefault="00897D61" w:rsidP="006068A2">
      <w:pPr>
        <w:pStyle w:val="Prrafodelista"/>
        <w:spacing w:line="360" w:lineRule="auto"/>
        <w:ind w:left="360"/>
        <w:jc w:val="both"/>
        <w:rPr>
          <w:rStyle w:val="s1"/>
          <w:rFonts w:ascii="Arial" w:eastAsia="Arial" w:hAnsi="Arial" w:cs="Arial"/>
          <w:sz w:val="22"/>
          <w:szCs w:val="22"/>
        </w:rPr>
      </w:pPr>
    </w:p>
    <w:p w14:paraId="40D6F3DA" w14:textId="7D580048" w:rsidR="000C4AE0" w:rsidRPr="006068A2" w:rsidRDefault="70E4FBB1" w:rsidP="006068A2">
      <w:pPr>
        <w:pStyle w:val="Ttulo1"/>
        <w:numPr>
          <w:ilvl w:val="0"/>
          <w:numId w:val="9"/>
        </w:numPr>
        <w:spacing w:before="0" w:line="360" w:lineRule="auto"/>
        <w:jc w:val="both"/>
        <w:rPr>
          <w:rFonts w:ascii="Arial" w:eastAsia="Arial" w:hAnsi="Arial" w:cs="Arial"/>
          <w:b/>
          <w:bCs/>
          <w:color w:val="auto"/>
          <w:sz w:val="22"/>
          <w:szCs w:val="22"/>
        </w:rPr>
      </w:pPr>
      <w:bookmarkStart w:id="21" w:name="_Toc229397835"/>
      <w:r w:rsidRPr="006068A2">
        <w:rPr>
          <w:rFonts w:ascii="Arial" w:eastAsia="Arial" w:hAnsi="Arial" w:cs="Arial"/>
          <w:b/>
          <w:bCs/>
          <w:color w:val="auto"/>
          <w:sz w:val="22"/>
          <w:szCs w:val="22"/>
        </w:rPr>
        <w:lastRenderedPageBreak/>
        <w:t>RECLAMACIONES EN SALUD</w:t>
      </w:r>
      <w:r w:rsidR="005466F0" w:rsidRPr="006068A2">
        <w:rPr>
          <w:rStyle w:val="Refdenotaalpie"/>
          <w:rFonts w:ascii="Arial" w:eastAsia="Arial" w:hAnsi="Arial" w:cs="Arial"/>
          <w:b/>
          <w:bCs/>
          <w:color w:val="auto"/>
          <w:sz w:val="22"/>
          <w:szCs w:val="22"/>
        </w:rPr>
        <w:footnoteReference w:id="4"/>
      </w:r>
      <w:bookmarkEnd w:id="21"/>
      <w:r w:rsidR="3BF92FE6" w:rsidRPr="006068A2">
        <w:rPr>
          <w:rFonts w:ascii="Arial" w:eastAsia="Arial" w:hAnsi="Arial" w:cs="Arial"/>
          <w:b/>
          <w:bCs/>
          <w:color w:val="auto"/>
          <w:sz w:val="22"/>
          <w:szCs w:val="22"/>
        </w:rPr>
        <w:t xml:space="preserve"> </w:t>
      </w:r>
    </w:p>
    <w:p w14:paraId="6FCC29A3" w14:textId="1200157C" w:rsidR="382B01F5" w:rsidRPr="006068A2" w:rsidRDefault="382B01F5" w:rsidP="006068A2">
      <w:pPr>
        <w:spacing w:line="360" w:lineRule="auto"/>
        <w:jc w:val="both"/>
        <w:rPr>
          <w:rFonts w:ascii="Arial" w:eastAsia="Arial" w:hAnsi="Arial" w:cs="Arial"/>
          <w:sz w:val="22"/>
          <w:szCs w:val="22"/>
        </w:rPr>
      </w:pPr>
    </w:p>
    <w:p w14:paraId="4B4537D5" w14:textId="4F89AE00" w:rsidR="7551437A" w:rsidRDefault="005D2032" w:rsidP="006068A2">
      <w:pPr>
        <w:spacing w:line="360" w:lineRule="auto"/>
        <w:jc w:val="both"/>
        <w:rPr>
          <w:rFonts w:ascii="Arial" w:eastAsia="Arial" w:hAnsi="Arial" w:cs="Arial"/>
          <w:sz w:val="22"/>
          <w:szCs w:val="22"/>
        </w:rPr>
      </w:pPr>
      <w:r w:rsidRPr="005D2032">
        <w:rPr>
          <w:rFonts w:ascii="Arial" w:eastAsia="Arial" w:hAnsi="Arial" w:cs="Arial"/>
          <w:sz w:val="22"/>
          <w:szCs w:val="22"/>
        </w:rPr>
        <w:t>De acuerdo con la información publicada por la Superintendencia Nacional de Salud, COOSALUD EPS en Bogotá D. C. registró para 2025 una tasa de reclamos en salud acumulada en 12 meses de 502,90 por cada 10.000 afiliados, correspondiente a 1.725 reclamos acumulados y un promedio de 34.301 afiliados durante la vigencia. Como se observa en la Ilustración 3, el comportamiento histórico del indicador entre 2021 y 2025 no fue lineal, sino que presentó dos momentos claramente diferenciados: una reducción gradual entre 2021 y 2023, al pasar de 325,26 a 302,82, seguida de un incremento acelerado en 2024 y 2025, cuando la tasa ascendió a 411,82 y 502,90, respectivamente. En términos acumulados, la tasa aumentó 54,6% entre 2021 y 2025, mientras que la variación anual promedio simple fue de 12,77%, impulsada principalmente por el fuerte deterioro observado en los dos últimos años del periodo.</w:t>
      </w:r>
    </w:p>
    <w:p w14:paraId="3FEE502D" w14:textId="77777777" w:rsidR="005D2032" w:rsidRPr="006068A2" w:rsidRDefault="005D2032" w:rsidP="006068A2">
      <w:pPr>
        <w:spacing w:line="360" w:lineRule="auto"/>
        <w:jc w:val="both"/>
        <w:rPr>
          <w:rFonts w:ascii="Arial" w:eastAsia="Arial" w:hAnsi="Arial" w:cs="Arial"/>
          <w:sz w:val="22"/>
          <w:szCs w:val="22"/>
        </w:rPr>
      </w:pPr>
    </w:p>
    <w:p w14:paraId="1DFF8F75" w14:textId="4FB87D32" w:rsidR="00B11D92" w:rsidRPr="006068A2" w:rsidRDefault="006203BE" w:rsidP="00897D61">
      <w:pPr>
        <w:pStyle w:val="Descripcin"/>
        <w:spacing w:after="0" w:line="360" w:lineRule="auto"/>
        <w:jc w:val="both"/>
        <w:rPr>
          <w:rFonts w:ascii="Arial" w:eastAsia="Arial" w:hAnsi="Arial" w:cs="Arial"/>
          <w:sz w:val="22"/>
          <w:szCs w:val="22"/>
        </w:rPr>
      </w:pPr>
      <w:bookmarkStart w:id="22" w:name="_Toc229395921"/>
      <w:r w:rsidRPr="006068A2">
        <w:rPr>
          <w:rFonts w:ascii="Arial" w:hAnsi="Arial" w:cs="Arial"/>
          <w:i w:val="0"/>
          <w:iCs w:val="0"/>
          <w:color w:val="auto"/>
          <w:sz w:val="22"/>
          <w:szCs w:val="22"/>
        </w:rPr>
        <w:t xml:space="preserve">Ilustración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Ilustración \* ARABIC </w:instrText>
      </w:r>
      <w:r w:rsidRPr="006068A2">
        <w:rPr>
          <w:rFonts w:ascii="Arial" w:hAnsi="Arial" w:cs="Arial"/>
          <w:i w:val="0"/>
          <w:iCs w:val="0"/>
          <w:color w:val="auto"/>
          <w:sz w:val="22"/>
          <w:szCs w:val="22"/>
        </w:rPr>
        <w:fldChar w:fldCharType="separate"/>
      </w:r>
      <w:r w:rsidR="009E481B">
        <w:rPr>
          <w:rFonts w:ascii="Arial" w:hAnsi="Arial" w:cs="Arial"/>
          <w:i w:val="0"/>
          <w:iCs w:val="0"/>
          <w:noProof/>
          <w:color w:val="auto"/>
          <w:sz w:val="22"/>
          <w:szCs w:val="22"/>
        </w:rPr>
        <w:t>3</w:t>
      </w:r>
      <w:r w:rsidRPr="006068A2">
        <w:rPr>
          <w:rFonts w:ascii="Arial" w:hAnsi="Arial" w:cs="Arial"/>
          <w:i w:val="0"/>
          <w:iCs w:val="0"/>
          <w:color w:val="auto"/>
          <w:sz w:val="22"/>
          <w:szCs w:val="22"/>
        </w:rPr>
        <w:fldChar w:fldCharType="end"/>
      </w:r>
      <w:r w:rsidRPr="006068A2">
        <w:rPr>
          <w:rFonts w:ascii="Arial" w:hAnsi="Arial" w:cs="Arial"/>
          <w:sz w:val="22"/>
          <w:szCs w:val="22"/>
        </w:rPr>
        <w:t xml:space="preserve">. </w:t>
      </w:r>
      <w:r w:rsidRPr="006068A2">
        <w:rPr>
          <w:rFonts w:ascii="Arial" w:hAnsi="Arial" w:cs="Arial"/>
          <w:i w:val="0"/>
          <w:iCs w:val="0"/>
          <w:color w:val="auto"/>
          <w:sz w:val="22"/>
          <w:szCs w:val="22"/>
        </w:rPr>
        <w:t>Tasa de reclamos en salud acumulados en 12 meses Coosalud EPS 2021-2025 – Bogotá D.C.</w:t>
      </w:r>
      <w:bookmarkEnd w:id="22"/>
    </w:p>
    <w:p w14:paraId="1C6906F3" w14:textId="378274E1" w:rsidR="355EE8F9" w:rsidRPr="006068A2" w:rsidRDefault="00897D61" w:rsidP="006068A2">
      <w:pPr>
        <w:spacing w:line="360" w:lineRule="auto"/>
        <w:jc w:val="both"/>
        <w:rPr>
          <w:rFonts w:ascii="Arial" w:hAnsi="Arial" w:cs="Arial"/>
          <w:sz w:val="22"/>
          <w:szCs w:val="22"/>
        </w:rPr>
      </w:pPr>
      <w:r w:rsidRPr="00844C9C">
        <w:rPr>
          <w:rFonts w:ascii="Arial" w:hAnsi="Arial" w:cs="Arial"/>
          <w:noProof/>
          <w:lang w:eastAsia="es-CO"/>
        </w:rPr>
        <mc:AlternateContent>
          <mc:Choice Requires="wps">
            <w:drawing>
              <wp:anchor distT="0" distB="0" distL="114300" distR="114300" simplePos="0" relativeHeight="251663360" behindDoc="0" locked="0" layoutInCell="1" allowOverlap="1" wp14:anchorId="1FE5DB4F" wp14:editId="411130C6">
                <wp:simplePos x="0" y="0"/>
                <wp:positionH relativeFrom="column">
                  <wp:posOffset>4875848</wp:posOffset>
                </wp:positionH>
                <wp:positionV relativeFrom="paragraph">
                  <wp:posOffset>1077277</wp:posOffset>
                </wp:positionV>
                <wp:extent cx="1139190" cy="305435"/>
                <wp:effectExtent l="0" t="21273" r="0" b="20637"/>
                <wp:wrapNone/>
                <wp:docPr id="15" name="Flecha: a la derecha 15"/>
                <wp:cNvGraphicFramePr/>
                <a:graphic xmlns:a="http://schemas.openxmlformats.org/drawingml/2006/main">
                  <a:graphicData uri="http://schemas.microsoft.com/office/word/2010/wordprocessingShape">
                    <wps:wsp>
                      <wps:cNvSpPr/>
                      <wps:spPr>
                        <a:xfrm rot="16200000">
                          <a:off x="0" y="0"/>
                          <a:ext cx="1139190" cy="305435"/>
                        </a:xfrm>
                        <a:prstGeom prst="rightArrow">
                          <a:avLst/>
                        </a:prstGeom>
                        <a:solidFill>
                          <a:srgbClr val="C00000"/>
                        </a:solidFill>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B97F2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15" o:spid="_x0000_s1026" type="#_x0000_t13" style="position:absolute;margin-left:383.95pt;margin-top:84.8pt;width:89.7pt;height:24.05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" adj="18704" fillcolor="#c00000" strokecolor="#261103 [485]" strokeweight="1pt"/>
            </w:pict>
          </mc:Fallback>
        </mc:AlternateContent>
      </w:r>
      <w:r w:rsidR="002C7124" w:rsidRPr="00745F0F">
        <w:rPr>
          <w:rFonts w:ascii="Arial" w:hAnsi="Arial" w:cs="Arial"/>
          <w:noProof/>
          <w:sz w:val="22"/>
          <w:szCs w:val="22"/>
          <w:lang w:eastAsia="es-CO"/>
        </w:rPr>
        <mc:AlternateContent>
          <mc:Choice Requires="wpg">
            <w:drawing>
              <wp:anchor distT="0" distB="0" distL="114300" distR="114300" simplePos="0" relativeHeight="251665408" behindDoc="0" locked="0" layoutInCell="1" allowOverlap="1" wp14:anchorId="7ED9BA0F" wp14:editId="22CABF05">
                <wp:simplePos x="0" y="0"/>
                <wp:positionH relativeFrom="column">
                  <wp:posOffset>276225</wp:posOffset>
                </wp:positionH>
                <wp:positionV relativeFrom="paragraph">
                  <wp:posOffset>1470660</wp:posOffset>
                </wp:positionV>
                <wp:extent cx="4869180" cy="295910"/>
                <wp:effectExtent l="38100" t="0" r="0" b="8890"/>
                <wp:wrapNone/>
                <wp:docPr id="21" name="Grupo 21"/>
                <wp:cNvGraphicFramePr/>
                <a:graphic xmlns:a="http://schemas.openxmlformats.org/drawingml/2006/main">
                  <a:graphicData uri="http://schemas.microsoft.com/office/word/2010/wordprocessingGroup">
                    <wpg:wgp>
                      <wpg:cNvGrpSpPr/>
                      <wpg:grpSpPr>
                        <a:xfrm>
                          <a:off x="0" y="0"/>
                          <a:ext cx="4869180" cy="295910"/>
                          <a:chOff x="44450" y="0"/>
                          <a:chExt cx="4869180" cy="295910"/>
                        </a:xfrm>
                      </wpg:grpSpPr>
                      <wps:wsp>
                        <wps:cNvPr id="19" name="Conector recto de flecha 5"/>
                        <wps:cNvCnPr/>
                        <wps:spPr>
                          <a:xfrm>
                            <a:off x="44450" y="161925"/>
                            <a:ext cx="4869180" cy="0"/>
                          </a:xfrm>
                          <a:prstGeom prst="straightConnector1">
                            <a:avLst/>
                          </a:prstGeom>
                          <a:ln w="28575">
                            <a:solidFill>
                              <a:srgbClr val="C00000"/>
                            </a:solidFill>
                            <a:prstDash val="sysDot"/>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20" name="CuadroTexto 2"/>
                        <wps:cNvSpPr txBox="1"/>
                        <wps:spPr>
                          <a:xfrm>
                            <a:off x="2009516" y="0"/>
                            <a:ext cx="1076325" cy="295910"/>
                          </a:xfrm>
                          <a:prstGeom prst="rect">
                            <a:avLst/>
                          </a:prstGeom>
                          <a:solidFill>
                            <a:schemeClr val="bg1"/>
                          </a:solidFill>
                        </wps:spPr>
                        <wps:txbx>
                          <w:txbxContent>
                            <w:p w14:paraId="19149506" w14:textId="131AEBE4" w:rsidR="002C7124" w:rsidRPr="00681C70" w:rsidRDefault="002C7124" w:rsidP="002C7124">
                              <w:pPr>
                                <w:jc w:val="center"/>
                                <w:rPr>
                                  <w:rFonts w:ascii="Arial" w:eastAsia="Arial" w:hAnsi="Arial"/>
                                  <w:b/>
                                  <w:bCs/>
                                  <w:color w:val="000000" w:themeColor="text1"/>
                                  <w:sz w:val="28"/>
                                  <w:szCs w:val="28"/>
                                  <w:lang w:val="es-ES"/>
                                </w:rPr>
                              </w:pPr>
                              <w:r>
                                <w:rPr>
                                  <w:rFonts w:ascii="Arial" w:eastAsia="Arial" w:hAnsi="Arial"/>
                                  <w:b/>
                                  <w:bCs/>
                                  <w:color w:val="000000" w:themeColor="text1"/>
                                  <w:sz w:val="28"/>
                                  <w:szCs w:val="28"/>
                                  <w:lang w:val="es-ES"/>
                                </w:rPr>
                                <w:t>54,6</w:t>
                              </w:r>
                              <w:r w:rsidRPr="00681C70">
                                <w:rPr>
                                  <w:rFonts w:ascii="Arial" w:eastAsia="Arial" w:hAnsi="Arial"/>
                                  <w:b/>
                                  <w:bCs/>
                                  <w:color w:val="000000" w:themeColor="text1"/>
                                  <w:sz w:val="28"/>
                                  <w:szCs w:val="28"/>
                                  <w:lang w:val="es-ES"/>
                                </w:rPr>
                                <w:t>%</w:t>
                              </w:r>
                            </w:p>
                          </w:txbxContent>
                        </wps:txbx>
                        <wps:bodyPr wrap="square">
                          <a:spAutoFit/>
                        </wps:bodyPr>
                      </wps:wsp>
                    </wpg:wgp>
                  </a:graphicData>
                </a:graphic>
                <wp14:sizeRelH relativeFrom="margin">
                  <wp14:pctWidth>0</wp14:pctWidth>
                </wp14:sizeRelH>
              </wp:anchor>
            </w:drawing>
          </mc:Choice>
          <mc:Fallback>
            <w:pict>
              <v:group w14:anchorId="7ED9BA0F" id="Grupo 21" o:spid="_x0000_s1027" style="position:absolute;left:0;text-align:left;margin-left:21.75pt;margin-top:115.8pt;width:383.4pt;height:23.3pt;z-index:251665408;mso-width-relative:margin" coordorigin="444" coordsize="48691,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">
                <v:shapetype id="_x0000_t32" coordsize="21600,21600" o:spt="32" o:oned="t" path="m,l21600,21600e" filled="f">
                  <v:path arrowok="t" fillok="f" o:connecttype="none"/>
                  <o:lock v:ext="edit" shapetype="t"/>
                </v:shapetype>
                <v:shape id="Conector recto de flecha 5" o:spid="_x0000_s1028" type="#_x0000_t32" style="position:absolute;left:444;top:1619;width:486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" strokecolor="#c00000" strokeweight="2.25pt">
                  <v:stroke dashstyle="1 1" startarrow="block" endarrow="block" joinstyle="miter"/>
                </v:shape>
                <v:shape id="CuadroTexto 2" o:spid="_x0000_s1029" type="#_x0000_t202" style="position:absolute;left:20095;width:1076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" fillcolor="white [3212]" stroked="f">
                  <v:textbox style="mso-fit-shape-to-text:t">
                    <w:txbxContent>
                      <w:p w14:paraId="19149506" w14:textId="131AEBE4" w:rsidR="002C7124" w:rsidRPr="00681C70" w:rsidRDefault="002C7124" w:rsidP="002C7124">
                        <w:pPr>
                          <w:jc w:val="center"/>
                          <w:rPr>
                            <w:rFonts w:ascii="Arial" w:eastAsia="Arial" w:hAnsi="Arial"/>
                            <w:b/>
                            <w:bCs/>
                            <w:color w:val="000000" w:themeColor="text1"/>
                            <w:sz w:val="28"/>
                            <w:szCs w:val="28"/>
                            <w:lang w:val="es-ES"/>
                          </w:rPr>
                        </w:pPr>
                        <w:r>
                          <w:rPr>
                            <w:rFonts w:ascii="Arial" w:eastAsia="Arial" w:hAnsi="Arial"/>
                            <w:b/>
                            <w:bCs/>
                            <w:color w:val="000000" w:themeColor="text1"/>
                            <w:sz w:val="28"/>
                            <w:szCs w:val="28"/>
                            <w:lang w:val="es-ES"/>
                          </w:rPr>
                          <w:t>54,6</w:t>
                        </w:r>
                        <w:r w:rsidRPr="00681C70">
                          <w:rPr>
                            <w:rFonts w:ascii="Arial" w:eastAsia="Arial" w:hAnsi="Arial"/>
                            <w:b/>
                            <w:bCs/>
                            <w:color w:val="000000" w:themeColor="text1"/>
                            <w:sz w:val="28"/>
                            <w:szCs w:val="28"/>
                            <w:lang w:val="es-ES"/>
                          </w:rPr>
                          <w:t>%</w:t>
                        </w:r>
                      </w:p>
                    </w:txbxContent>
                  </v:textbox>
                </v:shape>
              </v:group>
            </w:pict>
          </mc:Fallback>
        </mc:AlternateContent>
      </w:r>
      <w:r w:rsidR="00543119" w:rsidRPr="006068A2">
        <w:rPr>
          <w:rFonts w:ascii="Arial" w:hAnsi="Arial" w:cs="Arial"/>
          <w:noProof/>
          <w:sz w:val="22"/>
          <w:szCs w:val="22"/>
          <w:lang w:eastAsia="es-CO"/>
        </w:rPr>
        <w:drawing>
          <wp:inline distT="0" distB="0" distL="0" distR="0" wp14:anchorId="340687E9" wp14:editId="62FE9B2B">
            <wp:extent cx="5734050" cy="1935480"/>
            <wp:effectExtent l="0" t="0" r="0" b="7620"/>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14185D0" w14:textId="3B6DB5EB" w:rsidR="0A7CDCD5" w:rsidRDefault="0A7CDCD5" w:rsidP="006068A2">
      <w:pPr>
        <w:spacing w:line="360" w:lineRule="auto"/>
        <w:jc w:val="both"/>
        <w:rPr>
          <w:rFonts w:ascii="Arial" w:eastAsia="Arial" w:hAnsi="Arial" w:cs="Arial"/>
          <w:sz w:val="16"/>
          <w:szCs w:val="16"/>
        </w:rPr>
      </w:pPr>
      <w:r w:rsidRPr="00626751">
        <w:rPr>
          <w:rFonts w:ascii="Arial" w:eastAsia="Arial" w:hAnsi="Arial" w:cs="Arial"/>
          <w:sz w:val="16"/>
          <w:szCs w:val="16"/>
        </w:rPr>
        <w:t>Fuente: Reclamos en salud por EPS Histórico Nacional de la Supersalud, consultado</w:t>
      </w:r>
      <w:r w:rsidR="007B4A6B" w:rsidRPr="00626751">
        <w:rPr>
          <w:rFonts w:ascii="Arial" w:eastAsia="Arial" w:hAnsi="Arial" w:cs="Arial"/>
          <w:sz w:val="16"/>
          <w:szCs w:val="16"/>
        </w:rPr>
        <w:t xml:space="preserve"> el 05</w:t>
      </w:r>
      <w:r w:rsidRPr="00626751">
        <w:rPr>
          <w:rFonts w:ascii="Arial" w:eastAsia="Arial" w:hAnsi="Arial" w:cs="Arial"/>
          <w:sz w:val="16"/>
          <w:szCs w:val="16"/>
        </w:rPr>
        <w:t xml:space="preserve"> de </w:t>
      </w:r>
      <w:r w:rsidR="007B4A6B" w:rsidRPr="00626751">
        <w:rPr>
          <w:rFonts w:ascii="Arial" w:eastAsia="Arial" w:hAnsi="Arial" w:cs="Arial"/>
          <w:sz w:val="16"/>
          <w:szCs w:val="16"/>
        </w:rPr>
        <w:t>Mayo</w:t>
      </w:r>
      <w:r w:rsidRPr="00626751">
        <w:rPr>
          <w:rFonts w:ascii="Arial" w:eastAsia="Arial" w:hAnsi="Arial" w:cs="Arial"/>
          <w:sz w:val="16"/>
          <w:szCs w:val="16"/>
        </w:rPr>
        <w:t xml:space="preserve"> </w:t>
      </w:r>
      <w:r w:rsidR="075B8D94" w:rsidRPr="00626751">
        <w:rPr>
          <w:rFonts w:ascii="Arial" w:eastAsia="Arial" w:hAnsi="Arial" w:cs="Arial"/>
          <w:sz w:val="16"/>
          <w:szCs w:val="16"/>
        </w:rPr>
        <w:t xml:space="preserve">de 2026 </w:t>
      </w:r>
      <w:r w:rsidRPr="00626751">
        <w:rPr>
          <w:rFonts w:ascii="Arial" w:eastAsia="Arial" w:hAnsi="Arial" w:cs="Arial"/>
          <w:sz w:val="16"/>
          <w:szCs w:val="16"/>
        </w:rPr>
        <w:t>en:</w:t>
      </w:r>
      <w:r w:rsidR="00543119" w:rsidRPr="00626751">
        <w:rPr>
          <w:rFonts w:ascii="Arial" w:hAnsi="Arial" w:cs="Arial"/>
          <w:sz w:val="16"/>
          <w:szCs w:val="16"/>
        </w:rPr>
        <w:t xml:space="preserve"> </w:t>
      </w:r>
      <w:hyperlink r:id="rId27" w:history="1">
        <w:r w:rsidR="00626751" w:rsidRPr="008F0BB9">
          <w:rPr>
            <w:rStyle w:val="Hipervnculo"/>
            <w:rFonts w:ascii="Arial" w:eastAsia="Arial" w:hAnsi="Arial" w:cs="Arial"/>
            <w:sz w:val="16"/>
            <w:szCs w:val="16"/>
          </w:rPr>
          <w:t>https://app.powerbi.com/view?r=eyJrIjoiYTMwY2Y4ZjEtNWI0MC00YjAxLThjOGUtMjdiYWZhZjVlZjgzIiwidCI6IjE3YzQwYzUxLWIxZGYtNGUyNS04Y2Q2LTlkMGQyNjc4ODMwMCIsImMiOjR9&amp;disablecdnExpiration=1774397302</w:t>
        </w:r>
      </w:hyperlink>
    </w:p>
    <w:p w14:paraId="618F9688" w14:textId="2EE58BDF" w:rsidR="7551437A" w:rsidRPr="006068A2" w:rsidRDefault="7551437A" w:rsidP="006068A2">
      <w:pPr>
        <w:spacing w:line="360" w:lineRule="auto"/>
        <w:jc w:val="both"/>
        <w:rPr>
          <w:rFonts w:ascii="Arial" w:eastAsia="Arial" w:hAnsi="Arial" w:cs="Arial"/>
          <w:sz w:val="22"/>
          <w:szCs w:val="22"/>
        </w:rPr>
      </w:pPr>
    </w:p>
    <w:p w14:paraId="28AA8960" w14:textId="532A0ECC" w:rsidR="007B4A6B" w:rsidRPr="006068A2" w:rsidRDefault="00F22EBE" w:rsidP="006068A2">
      <w:pPr>
        <w:spacing w:line="360" w:lineRule="auto"/>
        <w:jc w:val="both"/>
        <w:rPr>
          <w:rFonts w:ascii="Arial" w:eastAsia="Arial" w:hAnsi="Arial" w:cs="Arial"/>
          <w:sz w:val="22"/>
          <w:szCs w:val="22"/>
        </w:rPr>
      </w:pPr>
      <w:r w:rsidRPr="00F22EBE">
        <w:rPr>
          <w:rFonts w:ascii="Arial" w:eastAsia="Arial" w:hAnsi="Arial" w:cs="Arial"/>
          <w:sz w:val="22"/>
          <w:szCs w:val="22"/>
        </w:rPr>
        <w:t>Según la información reportada por la Superintendencia Nacional de Salud para 2025, COOSALUD EPS ocupó el sexto lugar entre las EPS con mayor tasa de reclamos en salud en Bogotá D. C., al registrar 502,90 reclamos por cada 10.000 afiliados</w:t>
      </w:r>
      <w:r w:rsidR="00F0410F">
        <w:rPr>
          <w:rFonts w:ascii="Arial" w:eastAsia="Arial" w:hAnsi="Arial" w:cs="Arial"/>
          <w:sz w:val="22"/>
          <w:szCs w:val="22"/>
        </w:rPr>
        <w:t xml:space="preserve"> (n=1.725 reclamos)</w:t>
      </w:r>
      <w:r w:rsidRPr="00F22EBE">
        <w:rPr>
          <w:rFonts w:ascii="Arial" w:eastAsia="Arial" w:hAnsi="Arial" w:cs="Arial"/>
          <w:sz w:val="22"/>
          <w:szCs w:val="22"/>
        </w:rPr>
        <w:t>. Aunque este valor se ubica por debajo de la tasa promedio distrital, estimada en 560,67 por cada 10.000 afiliados, su comportamiento sigue siendo relevante en términos de seguimiento, especialmente por el incremento observado en los últimos años y por el volumen de reclamaciones acumuladas. En este sentido, el resultado amerita fortalecer acciones de vigilancia y gestión correctiva orientadas a identificar y atender las causas que están incrementando la recurrencia de reclamos.</w:t>
      </w:r>
    </w:p>
    <w:p w14:paraId="014AE56B" w14:textId="25E28974" w:rsidR="3FE75128" w:rsidRPr="006068A2" w:rsidRDefault="3FE75128" w:rsidP="006068A2">
      <w:pPr>
        <w:spacing w:line="360" w:lineRule="auto"/>
        <w:jc w:val="both"/>
        <w:rPr>
          <w:rFonts w:ascii="Arial" w:eastAsia="Arial" w:hAnsi="Arial" w:cs="Arial"/>
          <w:sz w:val="22"/>
          <w:szCs w:val="22"/>
        </w:rPr>
      </w:pPr>
    </w:p>
    <w:p w14:paraId="66688682" w14:textId="25289B43" w:rsidR="000C4AE0" w:rsidRPr="006068A2" w:rsidRDefault="2AD05CC0" w:rsidP="006068A2">
      <w:pPr>
        <w:pStyle w:val="Ttulo2"/>
        <w:numPr>
          <w:ilvl w:val="1"/>
          <w:numId w:val="9"/>
        </w:numPr>
        <w:spacing w:before="0" w:line="360" w:lineRule="auto"/>
        <w:jc w:val="both"/>
        <w:rPr>
          <w:rFonts w:ascii="Arial" w:eastAsia="Arial" w:hAnsi="Arial" w:cs="Arial"/>
          <w:b/>
          <w:bCs/>
          <w:color w:val="auto"/>
          <w:sz w:val="22"/>
          <w:szCs w:val="22"/>
        </w:rPr>
      </w:pPr>
      <w:bookmarkStart w:id="23" w:name="_Toc222732190"/>
      <w:bookmarkStart w:id="24" w:name="OLE_LINK9"/>
      <w:bookmarkStart w:id="25" w:name="_Toc229397836"/>
      <w:bookmarkEnd w:id="23"/>
      <w:r w:rsidRPr="006068A2">
        <w:rPr>
          <w:rFonts w:ascii="Arial" w:eastAsia="Arial" w:hAnsi="Arial" w:cs="Arial"/>
          <w:b/>
          <w:bCs/>
          <w:color w:val="auto"/>
          <w:sz w:val="22"/>
          <w:szCs w:val="22"/>
        </w:rPr>
        <w:t>Comportamie</w:t>
      </w:r>
      <w:r w:rsidR="58A36B8E" w:rsidRPr="006068A2">
        <w:rPr>
          <w:rFonts w:ascii="Arial" w:eastAsia="Arial" w:hAnsi="Arial" w:cs="Arial"/>
          <w:b/>
          <w:bCs/>
          <w:color w:val="auto"/>
          <w:sz w:val="22"/>
          <w:szCs w:val="22"/>
        </w:rPr>
        <w:t xml:space="preserve">nto de las </w:t>
      </w:r>
      <w:r w:rsidR="5709EAE4" w:rsidRPr="006068A2">
        <w:rPr>
          <w:rFonts w:ascii="Arial" w:eastAsia="Arial" w:hAnsi="Arial" w:cs="Arial"/>
          <w:b/>
          <w:bCs/>
          <w:color w:val="auto"/>
          <w:sz w:val="22"/>
          <w:szCs w:val="22"/>
        </w:rPr>
        <w:t>Reclamaciones</w:t>
      </w:r>
      <w:r w:rsidRPr="006068A2">
        <w:rPr>
          <w:rFonts w:ascii="Arial" w:eastAsia="Arial" w:hAnsi="Arial" w:cs="Arial"/>
          <w:b/>
          <w:bCs/>
          <w:color w:val="auto"/>
          <w:sz w:val="22"/>
          <w:szCs w:val="22"/>
        </w:rPr>
        <w:t xml:space="preserve"> – </w:t>
      </w:r>
      <w:r w:rsidR="5E370D58" w:rsidRPr="006068A2">
        <w:rPr>
          <w:rFonts w:ascii="Arial" w:eastAsia="Arial" w:hAnsi="Arial" w:cs="Arial"/>
          <w:b/>
          <w:bCs/>
          <w:color w:val="auto"/>
          <w:sz w:val="22"/>
          <w:szCs w:val="22"/>
        </w:rPr>
        <w:t>COOSALUD</w:t>
      </w:r>
      <w:r w:rsidR="2BCA3E73" w:rsidRPr="006068A2">
        <w:rPr>
          <w:rFonts w:ascii="Arial" w:eastAsia="Arial" w:hAnsi="Arial" w:cs="Arial"/>
          <w:b/>
          <w:bCs/>
          <w:color w:val="auto"/>
          <w:sz w:val="22"/>
          <w:szCs w:val="22"/>
        </w:rPr>
        <w:t xml:space="preserve"> </w:t>
      </w:r>
      <w:r w:rsidR="401FC128" w:rsidRPr="006068A2">
        <w:rPr>
          <w:rFonts w:ascii="Arial" w:eastAsia="Arial" w:hAnsi="Arial" w:cs="Arial"/>
          <w:b/>
          <w:bCs/>
          <w:color w:val="auto"/>
          <w:sz w:val="22"/>
          <w:szCs w:val="22"/>
        </w:rPr>
        <w:t>EPS</w:t>
      </w:r>
      <w:r w:rsidR="00420A4E" w:rsidRPr="006068A2">
        <w:rPr>
          <w:rStyle w:val="Refdenotaalpie"/>
          <w:rFonts w:ascii="Arial" w:eastAsia="Arial" w:hAnsi="Arial" w:cs="Arial"/>
          <w:b/>
          <w:bCs/>
          <w:color w:val="auto"/>
          <w:sz w:val="22"/>
          <w:szCs w:val="22"/>
        </w:rPr>
        <w:footnoteReference w:id="5"/>
      </w:r>
      <w:bookmarkEnd w:id="25"/>
    </w:p>
    <w:p w14:paraId="60973240" w14:textId="77777777" w:rsidR="002C7124" w:rsidRDefault="002C7124" w:rsidP="006068A2">
      <w:pPr>
        <w:spacing w:line="360" w:lineRule="auto"/>
        <w:jc w:val="both"/>
        <w:rPr>
          <w:rFonts w:ascii="Arial" w:eastAsia="Arial" w:hAnsi="Arial" w:cs="Arial"/>
          <w:sz w:val="22"/>
          <w:szCs w:val="22"/>
          <w:lang w:val="es-MX"/>
        </w:rPr>
      </w:pPr>
    </w:p>
    <w:p w14:paraId="5BF2DA4C" w14:textId="52820218" w:rsidR="000C4AE0" w:rsidRPr="006068A2" w:rsidRDefault="39EBFBEC" w:rsidP="006068A2">
      <w:pPr>
        <w:spacing w:line="360" w:lineRule="auto"/>
        <w:jc w:val="both"/>
        <w:rPr>
          <w:rFonts w:ascii="Arial" w:eastAsia="Arial" w:hAnsi="Arial" w:cs="Arial"/>
          <w:sz w:val="22"/>
          <w:szCs w:val="22"/>
          <w:lang w:val="es-MX"/>
        </w:rPr>
      </w:pPr>
      <w:r w:rsidRPr="006068A2">
        <w:rPr>
          <w:rFonts w:ascii="Arial" w:eastAsia="Arial" w:hAnsi="Arial" w:cs="Arial"/>
          <w:sz w:val="22"/>
          <w:szCs w:val="22"/>
          <w:lang w:val="es-MX"/>
        </w:rPr>
        <w:t>Las peticiones en materia de salud se enmarcan de manera general en el artículo 20 de la Ley 1437 de 2011, sustituido por el artículo 1 de la Ley 1755 de 2015. En consecuencia, la Superintendencia Nacional de Salud, mediante la Circular Externa 2023151000000010-5 de 2023 define los siguientes términos:</w:t>
      </w:r>
    </w:p>
    <w:p w14:paraId="7A4A9707" w14:textId="12DF0A5E" w:rsidR="000C4AE0" w:rsidRPr="006068A2" w:rsidRDefault="39EBFBEC" w:rsidP="006068A2">
      <w:pPr>
        <w:spacing w:line="360" w:lineRule="auto"/>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 </w:t>
      </w:r>
    </w:p>
    <w:p w14:paraId="255E6252" w14:textId="2324DEF1" w:rsidR="000C4AE0" w:rsidRPr="006068A2" w:rsidRDefault="39EBFBEC" w:rsidP="006068A2">
      <w:pPr>
        <w:pStyle w:val="Prrafodelista"/>
        <w:numPr>
          <w:ilvl w:val="0"/>
          <w:numId w:val="10"/>
        </w:numPr>
        <w:spacing w:line="360" w:lineRule="auto"/>
        <w:jc w:val="both"/>
        <w:rPr>
          <w:rFonts w:ascii="Arial" w:eastAsia="Arial" w:hAnsi="Arial" w:cs="Arial"/>
          <w:b/>
          <w:bCs/>
          <w:i/>
          <w:iCs/>
          <w:sz w:val="22"/>
          <w:szCs w:val="22"/>
          <w:lang w:val="es-MX"/>
        </w:rPr>
      </w:pPr>
      <w:r w:rsidRPr="006068A2">
        <w:rPr>
          <w:rFonts w:ascii="Arial" w:eastAsia="Arial" w:hAnsi="Arial" w:cs="Arial"/>
          <w:i/>
          <w:iCs/>
          <w:sz w:val="22"/>
          <w:szCs w:val="22"/>
          <w:lang w:val="es-MX"/>
        </w:rPr>
        <w:t xml:space="preserve">Reclamos de riesgo vital: Estos reclamos en salud deberán ser resueltos de manera inmediata y en todo caso no podrán superar el término máximo de veinticuatro </w:t>
      </w:r>
      <w:r w:rsidRPr="006068A2">
        <w:rPr>
          <w:rFonts w:ascii="Arial" w:eastAsia="Arial" w:hAnsi="Arial" w:cs="Arial"/>
          <w:b/>
          <w:bCs/>
          <w:i/>
          <w:iCs/>
          <w:sz w:val="22"/>
          <w:szCs w:val="22"/>
          <w:lang w:val="es-MX"/>
        </w:rPr>
        <w:t xml:space="preserve">(24) horas. </w:t>
      </w:r>
    </w:p>
    <w:p w14:paraId="1A979E48" w14:textId="550FA882" w:rsidR="000C4AE0" w:rsidRPr="006068A2" w:rsidRDefault="39EBFBEC" w:rsidP="006068A2">
      <w:pPr>
        <w:pStyle w:val="Prrafodelista"/>
        <w:numPr>
          <w:ilvl w:val="0"/>
          <w:numId w:val="10"/>
        </w:numPr>
        <w:spacing w:line="360" w:lineRule="auto"/>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Reclamos de riesgo priorizado: Estos reclamos en salud deberán ser resueltos y, en todo caso no podrán superar el término máximo de cuarenta y ocho </w:t>
      </w:r>
      <w:r w:rsidRPr="006068A2">
        <w:rPr>
          <w:rFonts w:ascii="Arial" w:eastAsia="Arial" w:hAnsi="Arial" w:cs="Arial"/>
          <w:b/>
          <w:bCs/>
          <w:i/>
          <w:iCs/>
          <w:sz w:val="22"/>
          <w:szCs w:val="22"/>
          <w:lang w:val="es-MX"/>
        </w:rPr>
        <w:t>(48) horas</w:t>
      </w:r>
      <w:r w:rsidRPr="006068A2">
        <w:rPr>
          <w:rFonts w:ascii="Arial" w:eastAsia="Arial" w:hAnsi="Arial" w:cs="Arial"/>
          <w:i/>
          <w:iCs/>
          <w:sz w:val="22"/>
          <w:szCs w:val="22"/>
          <w:lang w:val="es-MX"/>
        </w:rPr>
        <w:t>.</w:t>
      </w:r>
    </w:p>
    <w:p w14:paraId="53BCB4FD" w14:textId="530F1B96" w:rsidR="000C4AE0" w:rsidRPr="006068A2" w:rsidRDefault="39EBFBEC" w:rsidP="006068A2">
      <w:pPr>
        <w:pStyle w:val="Prrafodelista"/>
        <w:numPr>
          <w:ilvl w:val="0"/>
          <w:numId w:val="10"/>
        </w:numPr>
        <w:spacing w:line="360" w:lineRule="auto"/>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Reclamos de riesgo simple:  Los reclamos de riesgo simple en salud presentados directamente por los usuarios o a través de un tercero ante la entidad responsable o ante esta Superintendencia y trasladados al vigilado, se deben resolver de fondo en un término máximo de setenta y dos </w:t>
      </w:r>
      <w:r w:rsidRPr="006068A2">
        <w:rPr>
          <w:rFonts w:ascii="Arial" w:eastAsia="Arial" w:hAnsi="Arial" w:cs="Arial"/>
          <w:b/>
          <w:bCs/>
          <w:i/>
          <w:iCs/>
          <w:sz w:val="22"/>
          <w:szCs w:val="22"/>
          <w:lang w:val="es-MX"/>
        </w:rPr>
        <w:t>(72) horas</w:t>
      </w:r>
      <w:r w:rsidRPr="006068A2">
        <w:rPr>
          <w:rFonts w:ascii="Arial" w:eastAsia="Arial" w:hAnsi="Arial" w:cs="Arial"/>
          <w:i/>
          <w:iCs/>
          <w:sz w:val="22"/>
          <w:szCs w:val="22"/>
          <w:lang w:val="es-MX"/>
        </w:rPr>
        <w:t xml:space="preserve"> a partir de la fecha de radicación.</w:t>
      </w:r>
    </w:p>
    <w:p w14:paraId="18D7C137" w14:textId="620AB0E2" w:rsidR="000C4AE0" w:rsidRPr="006068A2" w:rsidRDefault="39EBFBEC" w:rsidP="006068A2">
      <w:pPr>
        <w:pStyle w:val="Prrafodelista"/>
        <w:numPr>
          <w:ilvl w:val="0"/>
          <w:numId w:val="10"/>
        </w:numPr>
        <w:spacing w:line="360" w:lineRule="auto"/>
        <w:jc w:val="both"/>
        <w:rPr>
          <w:rFonts w:ascii="Arial" w:eastAsia="Arial" w:hAnsi="Arial" w:cs="Arial"/>
          <w:sz w:val="22"/>
          <w:szCs w:val="22"/>
          <w:lang w:val="es-MX"/>
        </w:rPr>
      </w:pPr>
      <w:r w:rsidRPr="006068A2">
        <w:rPr>
          <w:rFonts w:ascii="Arial" w:eastAsia="Arial" w:hAnsi="Arial" w:cs="Arial"/>
          <w:i/>
          <w:iCs/>
          <w:sz w:val="22"/>
          <w:szCs w:val="22"/>
          <w:lang w:val="es-MX"/>
        </w:rPr>
        <w:t xml:space="preserve">Peticiones generales:  Aquellas que contienen solicitudes de información y/o no están relacionadas con la garantía del acceso a los servicios de salud, ni con la </w:t>
      </w:r>
      <w:r w:rsidRPr="006068A2">
        <w:rPr>
          <w:rFonts w:ascii="Arial" w:eastAsia="Arial" w:hAnsi="Arial" w:cs="Arial"/>
          <w:i/>
          <w:iCs/>
          <w:sz w:val="22"/>
          <w:szCs w:val="22"/>
          <w:lang w:val="es-MX"/>
        </w:rPr>
        <w:lastRenderedPageBreak/>
        <w:t xml:space="preserve">atención o prestación de servicios de salud, por tanto, serán respondidas de acuerdo a los términos definidos en el artículo 14 de la </w:t>
      </w:r>
      <w:r w:rsidRPr="006068A2">
        <w:rPr>
          <w:rFonts w:ascii="Arial" w:eastAsia="Arial" w:hAnsi="Arial" w:cs="Arial"/>
          <w:sz w:val="22"/>
          <w:szCs w:val="22"/>
          <w:lang w:val="es-MX"/>
        </w:rPr>
        <w:t>Ley 1755 de 2015</w:t>
      </w:r>
    </w:p>
    <w:p w14:paraId="0C6C1BC2" w14:textId="36606F23" w:rsidR="000C4AE0" w:rsidRPr="006068A2" w:rsidRDefault="39EBFBEC" w:rsidP="006068A2">
      <w:pPr>
        <w:spacing w:line="360" w:lineRule="auto"/>
        <w:ind w:left="360"/>
        <w:jc w:val="both"/>
        <w:rPr>
          <w:rFonts w:ascii="Arial" w:eastAsia="Arial" w:hAnsi="Arial" w:cs="Arial"/>
          <w:i/>
          <w:iCs/>
          <w:sz w:val="22"/>
          <w:szCs w:val="22"/>
          <w:lang w:val="es-MX"/>
        </w:rPr>
      </w:pPr>
      <w:r w:rsidRPr="006068A2">
        <w:rPr>
          <w:rFonts w:ascii="Arial" w:eastAsia="Arial" w:hAnsi="Arial" w:cs="Arial"/>
          <w:i/>
          <w:iCs/>
          <w:sz w:val="22"/>
          <w:szCs w:val="22"/>
          <w:lang w:val="es-MX"/>
        </w:rPr>
        <w:t xml:space="preserve"> </w:t>
      </w:r>
    </w:p>
    <w:p w14:paraId="24CA13CE" w14:textId="77777777" w:rsidR="00A35E8D" w:rsidRDefault="00A35E8D" w:rsidP="00A35E8D">
      <w:p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En el marco del seguimiento a las metas del Plan Distrital de Desarrollo “Bogotá Camina Segura 2024–2027”, en especial a aquellas orientadas a fortalecer la experiencia del usuario en el proceso de atención en salud, se analizó el comportamiento de las Peticiones, Quejas, Reclamos y Sugerencias (PQRS) gestionadas por COOSALUD EPS durante la vigencia 2025. Este análisis permite valorar el desempeño institucional de la entidad en aspectos relacionados con la oportunidad de respuesta, la identificación de barreras de acceso y las posibles afectaciones sobre la experiencia de los usuarios en la prestación de los servicios de salud.</w:t>
      </w:r>
    </w:p>
    <w:p w14:paraId="26435627" w14:textId="77777777" w:rsidR="00A35E8D" w:rsidRDefault="00A35E8D" w:rsidP="00A35E8D">
      <w:pPr>
        <w:spacing w:line="360" w:lineRule="auto"/>
        <w:jc w:val="both"/>
        <w:rPr>
          <w:rFonts w:ascii="Arial" w:eastAsia="Arial" w:hAnsi="Arial" w:cs="Arial"/>
          <w:sz w:val="22"/>
          <w:szCs w:val="22"/>
          <w:lang w:val="es-ES"/>
        </w:rPr>
      </w:pPr>
    </w:p>
    <w:p w14:paraId="776690B0" w14:textId="77777777" w:rsidR="00A35E8D" w:rsidRDefault="00A35E8D" w:rsidP="00A35E8D">
      <w:p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Para el año 2025, COOSALUD EPS registró en Bogotá D. C. una población afiliada de 34.472 usuarios y un total de 3.368 PQRS, lo que equivale a una tasa de 97,7 PQRS por cada 1.000 afiliados, aproximada a 98 por cada 1.000. Este resultado evidencia una carga importante de requerimientos ciudadanos en relación con el volumen de población afiliada y constituye un insumo relevante para identificar fallas recurrentes en el acceso, la oportunidad, la continuidad de la atención y la calidad percibida en la prestación de los servicios de salud. En este sentido, el comportamiento de las PQRS no solo refleja el nivel de interacción e inconformidad de los usuarios frente a la EPS, sino que también aporta elementos para orientar acciones de seguimiento, control y mejora sobre los factores que están generando insatisfacción o afectación en la experiencia de atención.</w:t>
      </w:r>
    </w:p>
    <w:p w14:paraId="1A0890FE" w14:textId="77777777" w:rsidR="00A35E8D" w:rsidRPr="00A35E8D" w:rsidRDefault="00A35E8D" w:rsidP="00A35E8D">
      <w:pPr>
        <w:spacing w:line="360" w:lineRule="auto"/>
        <w:jc w:val="both"/>
        <w:rPr>
          <w:rFonts w:ascii="Arial" w:eastAsia="Arial" w:hAnsi="Arial" w:cs="Arial"/>
          <w:sz w:val="22"/>
          <w:szCs w:val="22"/>
          <w:lang w:val="es-ES"/>
        </w:rPr>
      </w:pPr>
    </w:p>
    <w:p w14:paraId="34C99B63" w14:textId="19078E5C" w:rsidR="00A35E8D" w:rsidRDefault="00A35E8D" w:rsidP="00A35E8D">
      <w:p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Datos clave</w:t>
      </w:r>
      <w:r>
        <w:rPr>
          <w:rFonts w:ascii="Arial" w:eastAsia="Arial" w:hAnsi="Arial" w:cs="Arial"/>
          <w:sz w:val="22"/>
          <w:szCs w:val="22"/>
          <w:lang w:val="es-ES"/>
        </w:rPr>
        <w:t xml:space="preserve">: </w:t>
      </w:r>
    </w:p>
    <w:p w14:paraId="11539833" w14:textId="77777777" w:rsidR="00A35E8D" w:rsidRPr="00A35E8D" w:rsidRDefault="00A35E8D" w:rsidP="00A35E8D">
      <w:pPr>
        <w:spacing w:line="360" w:lineRule="auto"/>
        <w:jc w:val="both"/>
        <w:rPr>
          <w:rFonts w:ascii="Arial" w:eastAsia="Arial" w:hAnsi="Arial" w:cs="Arial"/>
          <w:sz w:val="22"/>
          <w:szCs w:val="22"/>
          <w:lang w:val="es-ES"/>
        </w:rPr>
      </w:pPr>
    </w:p>
    <w:p w14:paraId="355AEAB9" w14:textId="77777777" w:rsidR="00A35E8D" w:rsidRPr="00A35E8D" w:rsidRDefault="00A35E8D" w:rsidP="00A35E8D">
      <w:pPr>
        <w:pStyle w:val="Prrafodelista"/>
        <w:numPr>
          <w:ilvl w:val="0"/>
          <w:numId w:val="19"/>
        </w:num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 xml:space="preserve">Población afiliada (31 de diciembre de 2025): 34.472 usuarios </w:t>
      </w:r>
    </w:p>
    <w:p w14:paraId="7BEB992A" w14:textId="4A3EF675" w:rsidR="00A35E8D" w:rsidRPr="00A35E8D" w:rsidRDefault="00300C3E" w:rsidP="00A35E8D">
      <w:pPr>
        <w:pStyle w:val="Prrafodelista"/>
        <w:numPr>
          <w:ilvl w:val="0"/>
          <w:numId w:val="19"/>
        </w:num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Total,</w:t>
      </w:r>
      <w:r w:rsidR="00A35E8D" w:rsidRPr="00A35E8D">
        <w:rPr>
          <w:rFonts w:ascii="Arial" w:eastAsia="Arial" w:hAnsi="Arial" w:cs="Arial"/>
          <w:sz w:val="22"/>
          <w:szCs w:val="22"/>
          <w:lang w:val="es-ES"/>
        </w:rPr>
        <w:t xml:space="preserve"> de PQRS registradas: 3.368 </w:t>
      </w:r>
    </w:p>
    <w:p w14:paraId="185FD7EC" w14:textId="77777777" w:rsidR="00A35E8D" w:rsidRPr="00A35E8D" w:rsidRDefault="00A35E8D" w:rsidP="00A35E8D">
      <w:pPr>
        <w:pStyle w:val="Prrafodelista"/>
        <w:numPr>
          <w:ilvl w:val="0"/>
          <w:numId w:val="19"/>
        </w:num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 xml:space="preserve">Tasa de PQRS: 97,7 por cada 1.000 afiliados (aproximadamente 98 por cada 1.000) </w:t>
      </w:r>
    </w:p>
    <w:p w14:paraId="3C80B14A" w14:textId="77777777" w:rsidR="00A35E8D" w:rsidRDefault="00A35E8D" w:rsidP="00A35E8D">
      <w:pPr>
        <w:spacing w:line="360" w:lineRule="auto"/>
        <w:jc w:val="both"/>
        <w:rPr>
          <w:rFonts w:ascii="Arial" w:eastAsia="Arial" w:hAnsi="Arial" w:cs="Arial"/>
          <w:sz w:val="22"/>
          <w:szCs w:val="22"/>
          <w:lang w:val="es-ES"/>
        </w:rPr>
      </w:pPr>
    </w:p>
    <w:p w14:paraId="2FEB2F5C" w14:textId="55AF2DE6" w:rsidR="00A35E8D" w:rsidRPr="00A35E8D" w:rsidRDefault="00A35E8D" w:rsidP="00A35E8D">
      <w:pPr>
        <w:spacing w:line="360" w:lineRule="auto"/>
        <w:jc w:val="both"/>
        <w:rPr>
          <w:rFonts w:ascii="Arial" w:eastAsia="Arial" w:hAnsi="Arial" w:cs="Arial"/>
          <w:sz w:val="22"/>
          <w:szCs w:val="22"/>
          <w:lang w:val="es-ES"/>
        </w:rPr>
      </w:pPr>
      <w:r w:rsidRPr="00A35E8D">
        <w:rPr>
          <w:rFonts w:ascii="Arial" w:eastAsia="Arial" w:hAnsi="Arial" w:cs="Arial"/>
          <w:sz w:val="22"/>
          <w:szCs w:val="22"/>
          <w:lang w:val="es-ES"/>
        </w:rPr>
        <w:t xml:space="preserve">En síntesis, el volumen y la tasa de PQRS registradas por COOSALUD EPS durante 2025 constituyen una señal relevante sobre la existencia de tensiones en la relación entre la entidad y sus afiliados, así como sobre posibles fallas en la garantía efectiva del acceso y en la experiencia de atención. Si bien este indicador no permite por sí solo establecer la </w:t>
      </w:r>
      <w:r w:rsidRPr="00A35E8D">
        <w:rPr>
          <w:rFonts w:ascii="Arial" w:eastAsia="Arial" w:hAnsi="Arial" w:cs="Arial"/>
          <w:sz w:val="22"/>
          <w:szCs w:val="22"/>
          <w:lang w:val="es-ES"/>
        </w:rPr>
        <w:lastRenderedPageBreak/>
        <w:t>causa específica de las inconformidades, sí evidencia la necesidad de profundizar en los motivos más frecuentes de reclamación y de fortalecer las acciones correctivas orientadas a mejorar la oportunidad de respuesta, reducir barreras de acceso y mitigar factores que puedan afectar la continuidad y calidad de la atención en salud de la población afiliada en Bogotá D. C.</w:t>
      </w:r>
    </w:p>
    <w:p w14:paraId="7EF8D3D5" w14:textId="60FA2CE3" w:rsidR="000C4AE0" w:rsidRDefault="000C4AE0" w:rsidP="006068A2">
      <w:pPr>
        <w:spacing w:line="360" w:lineRule="auto"/>
        <w:jc w:val="both"/>
        <w:rPr>
          <w:rFonts w:ascii="Arial" w:eastAsia="Arial" w:hAnsi="Arial" w:cs="Arial"/>
          <w:sz w:val="22"/>
          <w:szCs w:val="22"/>
          <w:lang w:val="es-ES" w:eastAsia="es-CO"/>
        </w:rPr>
      </w:pPr>
    </w:p>
    <w:p w14:paraId="19058BCA" w14:textId="61997895" w:rsidR="00E00714" w:rsidRPr="006068A2" w:rsidRDefault="401FC128" w:rsidP="006068A2">
      <w:pPr>
        <w:pStyle w:val="Ttulo2"/>
        <w:numPr>
          <w:ilvl w:val="1"/>
          <w:numId w:val="9"/>
        </w:numPr>
        <w:spacing w:before="0" w:line="360" w:lineRule="auto"/>
        <w:jc w:val="both"/>
        <w:rPr>
          <w:rFonts w:ascii="Arial" w:eastAsia="Arial" w:hAnsi="Arial" w:cs="Arial"/>
          <w:b/>
          <w:bCs/>
          <w:color w:val="auto"/>
          <w:sz w:val="22"/>
          <w:szCs w:val="22"/>
        </w:rPr>
      </w:pPr>
      <w:bookmarkStart w:id="26" w:name="_Toc229397837"/>
      <w:r w:rsidRPr="006068A2">
        <w:rPr>
          <w:rFonts w:ascii="Arial" w:eastAsia="Arial" w:hAnsi="Arial" w:cs="Arial"/>
          <w:b/>
          <w:bCs/>
          <w:color w:val="auto"/>
          <w:sz w:val="22"/>
          <w:szCs w:val="22"/>
        </w:rPr>
        <w:t xml:space="preserve">Oportunidad en la respuesta a las </w:t>
      </w:r>
      <w:r w:rsidR="53D1764F" w:rsidRPr="006068A2">
        <w:rPr>
          <w:rFonts w:ascii="Arial" w:eastAsia="Arial" w:hAnsi="Arial" w:cs="Arial"/>
          <w:b/>
          <w:bCs/>
          <w:color w:val="auto"/>
          <w:sz w:val="22"/>
          <w:szCs w:val="22"/>
        </w:rPr>
        <w:t>PQRSD</w:t>
      </w:r>
      <w:r w:rsidRPr="006068A2">
        <w:rPr>
          <w:rFonts w:ascii="Arial" w:eastAsia="Arial" w:hAnsi="Arial" w:cs="Arial"/>
          <w:b/>
          <w:bCs/>
          <w:color w:val="auto"/>
          <w:sz w:val="22"/>
          <w:szCs w:val="22"/>
        </w:rPr>
        <w:t xml:space="preserve"> (Indicadores)</w:t>
      </w:r>
      <w:bookmarkEnd w:id="26"/>
    </w:p>
    <w:p w14:paraId="7D3FE93A" w14:textId="77777777" w:rsidR="002B65B6" w:rsidRPr="006068A2" w:rsidRDefault="002B65B6" w:rsidP="006068A2">
      <w:pPr>
        <w:spacing w:line="360" w:lineRule="auto"/>
        <w:jc w:val="both"/>
        <w:rPr>
          <w:rFonts w:ascii="Arial" w:eastAsia="Arial" w:hAnsi="Arial" w:cs="Arial"/>
          <w:sz w:val="22"/>
          <w:szCs w:val="22"/>
          <w:lang w:val="es-ES"/>
        </w:rPr>
      </w:pPr>
    </w:p>
    <w:p w14:paraId="22277187" w14:textId="793EDA8B" w:rsidR="0054461B" w:rsidRPr="0054461B" w:rsidRDefault="00EC23D9" w:rsidP="0054461B">
      <w:pPr>
        <w:spacing w:line="360" w:lineRule="auto"/>
        <w:jc w:val="both"/>
        <w:rPr>
          <w:rFonts w:ascii="Arial" w:eastAsia="Arial" w:hAnsi="Arial" w:cs="Arial"/>
          <w:sz w:val="22"/>
          <w:szCs w:val="22"/>
          <w:lang w:val="es-ES"/>
        </w:rPr>
      </w:pPr>
      <w:r w:rsidRPr="00EC23D9">
        <w:rPr>
          <w:rFonts w:ascii="Arial" w:eastAsia="Arial" w:hAnsi="Arial" w:cs="Arial"/>
          <w:sz w:val="22"/>
          <w:szCs w:val="22"/>
        </w:rPr>
        <w:t>Con el propósito de evaluar la oportunidad en la respuesta a las Peticiones, Quejas, Reclamos y Sugerencias (PQRS)</w:t>
      </w:r>
      <w:r w:rsidR="00997670">
        <w:rPr>
          <w:rFonts w:ascii="Arial" w:eastAsia="Arial" w:hAnsi="Arial" w:cs="Arial"/>
          <w:sz w:val="22"/>
          <w:szCs w:val="22"/>
        </w:rPr>
        <w:t>;</w:t>
      </w:r>
      <w:r w:rsidRPr="00EC23D9">
        <w:rPr>
          <w:rFonts w:ascii="Arial" w:eastAsia="Arial" w:hAnsi="Arial" w:cs="Arial"/>
          <w:sz w:val="22"/>
          <w:szCs w:val="22"/>
        </w:rPr>
        <w:t xml:space="preserve"> a </w:t>
      </w:r>
      <w:r w:rsidR="00997670" w:rsidRPr="00EC23D9">
        <w:rPr>
          <w:rFonts w:ascii="Arial" w:eastAsia="Arial" w:hAnsi="Arial" w:cs="Arial"/>
          <w:sz w:val="22"/>
          <w:szCs w:val="22"/>
        </w:rPr>
        <w:t>continuación,</w:t>
      </w:r>
      <w:r w:rsidRPr="00EC23D9">
        <w:rPr>
          <w:rFonts w:ascii="Arial" w:eastAsia="Arial" w:hAnsi="Arial" w:cs="Arial"/>
          <w:sz w:val="22"/>
          <w:szCs w:val="22"/>
        </w:rPr>
        <w:t xml:space="preserve"> se presenta el porcentaje de incumplimiento en los tiempos de respuesta, discriminado por tipo de manifestación</w:t>
      </w:r>
      <w:r w:rsidR="0054461B" w:rsidRPr="0054461B">
        <w:rPr>
          <w:rFonts w:ascii="Arial" w:eastAsia="Arial" w:hAnsi="Arial" w:cs="Arial"/>
          <w:sz w:val="22"/>
          <w:szCs w:val="22"/>
          <w:lang w:val="es-ES"/>
        </w:rPr>
        <w:t>. El análisis se realiza con base en los términos establecidos en la Ley 1755 de 2015 y en la Circular 2023151000000105 de la Superintendencia Nacional de Salud, que definen tiempos diferenciales de respuesta según la clasificación del riesgo de cada manifestación.</w:t>
      </w:r>
    </w:p>
    <w:p w14:paraId="5E3B1452" w14:textId="77777777" w:rsidR="0054461B" w:rsidRPr="0054461B" w:rsidRDefault="0054461B" w:rsidP="0054461B">
      <w:pPr>
        <w:spacing w:line="360" w:lineRule="auto"/>
        <w:jc w:val="both"/>
        <w:rPr>
          <w:rFonts w:ascii="Arial" w:eastAsia="Arial" w:hAnsi="Arial" w:cs="Arial"/>
          <w:sz w:val="22"/>
          <w:szCs w:val="22"/>
          <w:lang w:val="es-ES"/>
        </w:rPr>
      </w:pPr>
    </w:p>
    <w:p w14:paraId="1A9F6D94" w14:textId="1B87642F" w:rsidR="00C824FC" w:rsidRDefault="0054461B" w:rsidP="0054461B">
      <w:pPr>
        <w:spacing w:line="360" w:lineRule="auto"/>
        <w:jc w:val="both"/>
        <w:rPr>
          <w:rFonts w:ascii="Arial" w:eastAsia="Arial" w:hAnsi="Arial" w:cs="Arial"/>
          <w:sz w:val="22"/>
          <w:szCs w:val="22"/>
          <w:lang w:val="es-ES"/>
        </w:rPr>
      </w:pPr>
      <w:r w:rsidRPr="0054461B">
        <w:rPr>
          <w:rFonts w:ascii="Arial" w:eastAsia="Arial" w:hAnsi="Arial" w:cs="Arial"/>
          <w:sz w:val="22"/>
          <w:szCs w:val="22"/>
          <w:lang w:val="es-ES"/>
        </w:rPr>
        <w:t>La información permite valorar el grado de cumplimiento normativo de COOSALUD EPS frente a la gestión de las PQRS y dimensionar el impacto de los retrasos en la atención de las manifestaciones, especialmente en aquellas clasificadas como riesgo vital y riesgo priorizado, cuya inoportunidad puede comprometer de manera más directa la protección del derecho fundamental a la salud y la prestación adecuada del servicio.</w:t>
      </w:r>
    </w:p>
    <w:p w14:paraId="5FA7CA9C" w14:textId="77777777" w:rsidR="0054461B" w:rsidRPr="006068A2" w:rsidRDefault="0054461B" w:rsidP="0054461B">
      <w:pPr>
        <w:spacing w:line="360" w:lineRule="auto"/>
        <w:jc w:val="both"/>
        <w:rPr>
          <w:rFonts w:ascii="Arial" w:eastAsia="Arial" w:hAnsi="Arial" w:cs="Arial"/>
          <w:b/>
          <w:bCs/>
          <w:sz w:val="22"/>
          <w:szCs w:val="22"/>
          <w:lang w:val="es-ES"/>
        </w:rPr>
      </w:pPr>
    </w:p>
    <w:p w14:paraId="65493396" w14:textId="4208005A" w:rsidR="4CE92E66" w:rsidRPr="006068A2" w:rsidRDefault="006203BE" w:rsidP="003F3C8F">
      <w:pPr>
        <w:pStyle w:val="Descripcin"/>
        <w:spacing w:after="0" w:line="360" w:lineRule="auto"/>
        <w:jc w:val="both"/>
        <w:rPr>
          <w:rFonts w:ascii="Arial" w:eastAsia="Arial" w:hAnsi="Arial" w:cs="Arial"/>
          <w:i w:val="0"/>
          <w:iCs w:val="0"/>
          <w:color w:val="000000" w:themeColor="text1"/>
          <w:sz w:val="22"/>
          <w:szCs w:val="22"/>
          <w:lang w:val="es-ES"/>
        </w:rPr>
      </w:pPr>
      <w:bookmarkStart w:id="27" w:name="_Toc229395864"/>
      <w:r w:rsidRPr="006068A2">
        <w:rPr>
          <w:rFonts w:ascii="Arial" w:eastAsia="Arial" w:hAnsi="Arial" w:cs="Arial"/>
          <w:i w:val="0"/>
          <w:iCs w:val="0"/>
          <w:color w:val="000000" w:themeColor="text1"/>
          <w:sz w:val="22"/>
          <w:szCs w:val="22"/>
          <w:lang w:val="es-ES"/>
        </w:rPr>
        <w:t xml:space="preserve">Tabla </w:t>
      </w:r>
      <w:r w:rsidRPr="006068A2">
        <w:rPr>
          <w:rFonts w:ascii="Arial" w:eastAsia="Arial" w:hAnsi="Arial" w:cs="Arial"/>
          <w:i w:val="0"/>
          <w:iCs w:val="0"/>
          <w:color w:val="000000" w:themeColor="text1"/>
          <w:sz w:val="22"/>
          <w:szCs w:val="22"/>
          <w:lang w:val="es-ES"/>
        </w:rPr>
        <w:fldChar w:fldCharType="begin"/>
      </w:r>
      <w:r w:rsidRPr="006068A2">
        <w:rPr>
          <w:rFonts w:ascii="Arial" w:eastAsia="Arial" w:hAnsi="Arial" w:cs="Arial"/>
          <w:i w:val="0"/>
          <w:iCs w:val="0"/>
          <w:color w:val="000000" w:themeColor="text1"/>
          <w:sz w:val="22"/>
          <w:szCs w:val="22"/>
          <w:lang w:val="es-ES"/>
        </w:rPr>
        <w:instrText xml:space="preserve"> SEQ Tabla \* ARABIC </w:instrText>
      </w:r>
      <w:r w:rsidRPr="006068A2">
        <w:rPr>
          <w:rFonts w:ascii="Arial" w:eastAsia="Arial" w:hAnsi="Arial" w:cs="Arial"/>
          <w:i w:val="0"/>
          <w:iCs w:val="0"/>
          <w:color w:val="000000" w:themeColor="text1"/>
          <w:sz w:val="22"/>
          <w:szCs w:val="22"/>
          <w:lang w:val="es-ES"/>
        </w:rPr>
        <w:fldChar w:fldCharType="separate"/>
      </w:r>
      <w:r w:rsidR="00CB6C8D">
        <w:rPr>
          <w:rFonts w:ascii="Arial" w:eastAsia="Arial" w:hAnsi="Arial" w:cs="Arial"/>
          <w:i w:val="0"/>
          <w:iCs w:val="0"/>
          <w:noProof/>
          <w:color w:val="000000" w:themeColor="text1"/>
          <w:sz w:val="22"/>
          <w:szCs w:val="22"/>
          <w:lang w:val="es-ES"/>
        </w:rPr>
        <w:t>7</w:t>
      </w:r>
      <w:r w:rsidRPr="006068A2">
        <w:rPr>
          <w:rFonts w:ascii="Arial" w:eastAsia="Arial" w:hAnsi="Arial" w:cs="Arial"/>
          <w:i w:val="0"/>
          <w:iCs w:val="0"/>
          <w:color w:val="000000" w:themeColor="text1"/>
          <w:sz w:val="22"/>
          <w:szCs w:val="22"/>
          <w:lang w:val="es-ES"/>
        </w:rPr>
        <w:fldChar w:fldCharType="end"/>
      </w:r>
      <w:r w:rsidRPr="006068A2">
        <w:rPr>
          <w:rFonts w:ascii="Arial" w:eastAsia="Arial" w:hAnsi="Arial" w:cs="Arial"/>
          <w:i w:val="0"/>
          <w:iCs w:val="0"/>
          <w:color w:val="000000" w:themeColor="text1"/>
          <w:sz w:val="22"/>
          <w:szCs w:val="22"/>
          <w:lang w:val="es-ES"/>
        </w:rPr>
        <w:t>. Porcentaje de Incumplimiento en la respuesta por Tipo de PQRS</w:t>
      </w:r>
      <w:bookmarkEnd w:id="27"/>
    </w:p>
    <w:p w14:paraId="1625DC26" w14:textId="77777777" w:rsidR="00C824FC" w:rsidRPr="006068A2" w:rsidRDefault="00C824FC" w:rsidP="006068A2">
      <w:pPr>
        <w:spacing w:line="360" w:lineRule="auto"/>
        <w:rPr>
          <w:rFonts w:ascii="Arial" w:hAnsi="Arial" w:cs="Arial"/>
          <w:sz w:val="22"/>
          <w:szCs w:val="22"/>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1343"/>
        <w:gridCol w:w="1959"/>
        <w:gridCol w:w="1859"/>
      </w:tblGrid>
      <w:tr w:rsidR="5161137D" w:rsidRPr="006068A2" w14:paraId="7CCFF779" w14:textId="77777777" w:rsidTr="00300C3E">
        <w:trPr>
          <w:trHeight w:val="557"/>
          <w:jc w:val="center"/>
        </w:trPr>
        <w:tc>
          <w:tcPr>
            <w:tcW w:w="3405" w:type="dxa"/>
            <w:tcMar>
              <w:left w:w="70" w:type="dxa"/>
              <w:right w:w="70" w:type="dxa"/>
            </w:tcMar>
            <w:vAlign w:val="center"/>
          </w:tcPr>
          <w:p w14:paraId="583A556D" w14:textId="53F5234D" w:rsidR="5161137D" w:rsidRPr="006068A2" w:rsidRDefault="5161137D" w:rsidP="00565FCA">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Indicador</w:t>
            </w:r>
          </w:p>
        </w:tc>
        <w:tc>
          <w:tcPr>
            <w:tcW w:w="1343" w:type="dxa"/>
            <w:tcMar>
              <w:left w:w="70" w:type="dxa"/>
              <w:right w:w="70" w:type="dxa"/>
            </w:tcMar>
            <w:vAlign w:val="center"/>
          </w:tcPr>
          <w:p w14:paraId="0D9A470D" w14:textId="4A334A78" w:rsidR="5161137D" w:rsidRPr="006068A2" w:rsidRDefault="5161137D" w:rsidP="00565FCA">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Periodo</w:t>
            </w:r>
          </w:p>
        </w:tc>
        <w:tc>
          <w:tcPr>
            <w:tcW w:w="1959" w:type="dxa"/>
            <w:tcMar>
              <w:left w:w="70" w:type="dxa"/>
              <w:right w:w="70" w:type="dxa"/>
            </w:tcMar>
            <w:vAlign w:val="center"/>
          </w:tcPr>
          <w:p w14:paraId="3A987655" w14:textId="25A81010" w:rsidR="5161137D" w:rsidRPr="006068A2" w:rsidRDefault="5161137D" w:rsidP="00565FCA">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Definición Operacional</w:t>
            </w:r>
          </w:p>
        </w:tc>
        <w:tc>
          <w:tcPr>
            <w:tcW w:w="1859" w:type="dxa"/>
            <w:tcMar>
              <w:left w:w="70" w:type="dxa"/>
              <w:right w:w="70" w:type="dxa"/>
            </w:tcMar>
            <w:vAlign w:val="center"/>
          </w:tcPr>
          <w:p w14:paraId="4F54FCFC" w14:textId="6FBB685E" w:rsidR="5161137D" w:rsidRPr="006068A2" w:rsidRDefault="5161137D" w:rsidP="00565FCA">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Porcentaje Incumplimiento</w:t>
            </w:r>
          </w:p>
        </w:tc>
      </w:tr>
      <w:tr w:rsidR="5161137D" w:rsidRPr="006068A2" w14:paraId="66103E24" w14:textId="77777777" w:rsidTr="00300C3E">
        <w:trPr>
          <w:trHeight w:val="378"/>
          <w:jc w:val="center"/>
        </w:trPr>
        <w:tc>
          <w:tcPr>
            <w:tcW w:w="3405" w:type="dxa"/>
            <w:vMerge w:val="restart"/>
            <w:shd w:val="clear" w:color="auto" w:fill="FFFFFF" w:themeFill="background1"/>
            <w:tcMar>
              <w:left w:w="70" w:type="dxa"/>
              <w:right w:w="70" w:type="dxa"/>
            </w:tcMar>
            <w:vAlign w:val="center"/>
          </w:tcPr>
          <w:p w14:paraId="445C927A" w14:textId="790C32CB"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Total, PQRS determinadas como Riesgo Vital * 100</w:t>
            </w:r>
          </w:p>
        </w:tc>
        <w:tc>
          <w:tcPr>
            <w:tcW w:w="1343" w:type="dxa"/>
            <w:shd w:val="clear" w:color="auto" w:fill="FFFFFF" w:themeFill="background1"/>
            <w:tcMar>
              <w:left w:w="70" w:type="dxa"/>
              <w:right w:w="70" w:type="dxa"/>
            </w:tcMar>
            <w:vAlign w:val="center"/>
          </w:tcPr>
          <w:p w14:paraId="064EC9D7" w14:textId="5BABC606"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 Sem. 2025</w:t>
            </w:r>
          </w:p>
        </w:tc>
        <w:tc>
          <w:tcPr>
            <w:tcW w:w="1959" w:type="dxa"/>
            <w:shd w:val="clear" w:color="auto" w:fill="FFFFFF" w:themeFill="background1"/>
            <w:tcMar>
              <w:left w:w="70" w:type="dxa"/>
              <w:right w:w="70" w:type="dxa"/>
            </w:tcMar>
            <w:vAlign w:val="center"/>
          </w:tcPr>
          <w:p w14:paraId="2BC52002" w14:textId="0AABA741" w:rsidR="5161137D" w:rsidRPr="006068A2" w:rsidRDefault="5161137D" w:rsidP="00874648">
            <w:pPr>
              <w:spacing w:line="360" w:lineRule="auto"/>
              <w:jc w:val="center"/>
              <w:rPr>
                <w:rFonts w:ascii="Arial" w:eastAsia="Arial" w:hAnsi="Arial" w:cs="Arial"/>
                <w:color w:val="000000" w:themeColor="text1"/>
                <w:sz w:val="22"/>
                <w:szCs w:val="22"/>
                <w:lang w:val="es"/>
              </w:rPr>
            </w:pPr>
            <w:r w:rsidRPr="006068A2">
              <w:rPr>
                <w:rFonts w:ascii="Arial" w:eastAsia="Arial" w:hAnsi="Arial" w:cs="Arial"/>
                <w:color w:val="242424"/>
                <w:sz w:val="22"/>
                <w:szCs w:val="22"/>
                <w:lang w:val="es"/>
              </w:rPr>
              <w:t>1 / 2</w:t>
            </w:r>
            <w:r w:rsidRPr="006068A2">
              <w:rPr>
                <w:rFonts w:ascii="Arial" w:eastAsia="Arial" w:hAnsi="Arial" w:cs="Arial"/>
                <w:color w:val="000000" w:themeColor="text1"/>
                <w:sz w:val="22"/>
                <w:szCs w:val="22"/>
                <w:lang w:val="es"/>
              </w:rPr>
              <w:t xml:space="preserve"> *100</w:t>
            </w:r>
          </w:p>
        </w:tc>
        <w:tc>
          <w:tcPr>
            <w:tcW w:w="1859" w:type="dxa"/>
            <w:tcMar>
              <w:left w:w="70" w:type="dxa"/>
              <w:right w:w="70" w:type="dxa"/>
            </w:tcMar>
            <w:vAlign w:val="center"/>
          </w:tcPr>
          <w:p w14:paraId="027FB9F6" w14:textId="0CA30852"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50%</w:t>
            </w:r>
          </w:p>
        </w:tc>
      </w:tr>
      <w:tr w:rsidR="5161137D" w:rsidRPr="006068A2" w14:paraId="6C0FA2DA" w14:textId="77777777" w:rsidTr="00300C3E">
        <w:trPr>
          <w:trHeight w:val="378"/>
          <w:jc w:val="center"/>
        </w:trPr>
        <w:tc>
          <w:tcPr>
            <w:tcW w:w="3405" w:type="dxa"/>
            <w:vMerge/>
            <w:vAlign w:val="center"/>
          </w:tcPr>
          <w:p w14:paraId="2A662277" w14:textId="77777777" w:rsidR="00EE3AD7" w:rsidRPr="006068A2" w:rsidRDefault="00EE3AD7" w:rsidP="006068A2">
            <w:pPr>
              <w:spacing w:line="360" w:lineRule="auto"/>
              <w:jc w:val="both"/>
              <w:rPr>
                <w:rFonts w:ascii="Arial" w:hAnsi="Arial" w:cs="Arial"/>
                <w:sz w:val="22"/>
                <w:szCs w:val="22"/>
              </w:rPr>
            </w:pPr>
          </w:p>
        </w:tc>
        <w:tc>
          <w:tcPr>
            <w:tcW w:w="1343" w:type="dxa"/>
            <w:shd w:val="clear" w:color="auto" w:fill="FFFFFF" w:themeFill="background1"/>
            <w:tcMar>
              <w:left w:w="70" w:type="dxa"/>
              <w:right w:w="70" w:type="dxa"/>
            </w:tcMar>
            <w:vAlign w:val="center"/>
          </w:tcPr>
          <w:p w14:paraId="3F78C3F1" w14:textId="2E423EE2"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II Sem. 2025</w:t>
            </w:r>
          </w:p>
        </w:tc>
        <w:tc>
          <w:tcPr>
            <w:tcW w:w="1959" w:type="dxa"/>
            <w:shd w:val="clear" w:color="auto" w:fill="FFFFFF" w:themeFill="background1"/>
            <w:tcMar>
              <w:left w:w="70" w:type="dxa"/>
              <w:right w:w="70" w:type="dxa"/>
            </w:tcMar>
            <w:vAlign w:val="center"/>
          </w:tcPr>
          <w:p w14:paraId="390D0A8B" w14:textId="6315C3ED" w:rsidR="5161137D" w:rsidRPr="006068A2" w:rsidRDefault="5161137D" w:rsidP="00874648">
            <w:pPr>
              <w:spacing w:line="360" w:lineRule="auto"/>
              <w:jc w:val="center"/>
              <w:rPr>
                <w:rFonts w:ascii="Arial" w:eastAsia="Arial" w:hAnsi="Arial" w:cs="Arial"/>
                <w:color w:val="242424"/>
                <w:sz w:val="22"/>
                <w:szCs w:val="22"/>
              </w:rPr>
            </w:pPr>
            <w:r w:rsidRPr="006068A2">
              <w:rPr>
                <w:rFonts w:ascii="Arial" w:eastAsia="Arial" w:hAnsi="Arial" w:cs="Arial"/>
                <w:color w:val="242424"/>
                <w:sz w:val="22"/>
                <w:szCs w:val="22"/>
              </w:rPr>
              <w:t>2 / 4 *100</w:t>
            </w:r>
          </w:p>
        </w:tc>
        <w:tc>
          <w:tcPr>
            <w:tcW w:w="1859" w:type="dxa"/>
            <w:tcMar>
              <w:left w:w="70" w:type="dxa"/>
              <w:right w:w="70" w:type="dxa"/>
            </w:tcMar>
            <w:vAlign w:val="center"/>
          </w:tcPr>
          <w:p w14:paraId="1A1DEAC0" w14:textId="04CED3B6"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50%</w:t>
            </w:r>
          </w:p>
        </w:tc>
      </w:tr>
      <w:tr w:rsidR="5161137D" w:rsidRPr="006068A2" w14:paraId="5ED60B9E" w14:textId="77777777" w:rsidTr="00300C3E">
        <w:trPr>
          <w:trHeight w:val="378"/>
          <w:jc w:val="center"/>
        </w:trPr>
        <w:tc>
          <w:tcPr>
            <w:tcW w:w="3405" w:type="dxa"/>
            <w:shd w:val="clear" w:color="auto" w:fill="B4C6E7" w:themeFill="accent5" w:themeFillTint="66"/>
            <w:tcMar>
              <w:left w:w="70" w:type="dxa"/>
              <w:right w:w="70" w:type="dxa"/>
            </w:tcMar>
            <w:vAlign w:val="center"/>
          </w:tcPr>
          <w:p w14:paraId="64B9A01E" w14:textId="62FAAA0C"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TOTAL</w:t>
            </w:r>
          </w:p>
        </w:tc>
        <w:tc>
          <w:tcPr>
            <w:tcW w:w="1343" w:type="dxa"/>
            <w:shd w:val="clear" w:color="auto" w:fill="B4C6E7" w:themeFill="accent5" w:themeFillTint="66"/>
            <w:tcMar>
              <w:left w:w="70" w:type="dxa"/>
              <w:right w:w="70" w:type="dxa"/>
            </w:tcMar>
            <w:vAlign w:val="center"/>
          </w:tcPr>
          <w:p w14:paraId="3BEA087A" w14:textId="45CCAD47" w:rsidR="5161137D" w:rsidRPr="006068A2" w:rsidRDefault="5161137D" w:rsidP="0054461B">
            <w:pPr>
              <w:spacing w:line="360" w:lineRule="auto"/>
              <w:jc w:val="center"/>
              <w:rPr>
                <w:rFonts w:ascii="Arial" w:eastAsia="Arial" w:hAnsi="Arial" w:cs="Arial"/>
                <w:color w:val="000000" w:themeColor="text1"/>
                <w:sz w:val="22"/>
                <w:szCs w:val="22"/>
              </w:rPr>
            </w:pPr>
          </w:p>
        </w:tc>
        <w:tc>
          <w:tcPr>
            <w:tcW w:w="1959" w:type="dxa"/>
            <w:shd w:val="clear" w:color="auto" w:fill="B4C6E7" w:themeFill="accent5" w:themeFillTint="66"/>
            <w:tcMar>
              <w:left w:w="70" w:type="dxa"/>
              <w:right w:w="70" w:type="dxa"/>
            </w:tcMar>
            <w:vAlign w:val="center"/>
          </w:tcPr>
          <w:p w14:paraId="14E9ACDD" w14:textId="3D0A0937" w:rsidR="5161137D" w:rsidRPr="006068A2" w:rsidRDefault="5161137D" w:rsidP="00874648">
            <w:pPr>
              <w:spacing w:line="360" w:lineRule="auto"/>
              <w:jc w:val="center"/>
              <w:rPr>
                <w:rFonts w:ascii="Arial" w:eastAsia="Arial" w:hAnsi="Arial" w:cs="Arial"/>
                <w:b/>
                <w:bCs/>
                <w:color w:val="242424"/>
                <w:sz w:val="22"/>
                <w:szCs w:val="22"/>
              </w:rPr>
            </w:pPr>
            <w:r w:rsidRPr="006068A2">
              <w:rPr>
                <w:rFonts w:ascii="Arial" w:eastAsia="Arial" w:hAnsi="Arial" w:cs="Arial"/>
                <w:b/>
                <w:bCs/>
                <w:color w:val="242424"/>
                <w:sz w:val="22"/>
                <w:szCs w:val="22"/>
              </w:rPr>
              <w:t>3 / 6*100</w:t>
            </w:r>
          </w:p>
        </w:tc>
        <w:tc>
          <w:tcPr>
            <w:tcW w:w="1859" w:type="dxa"/>
            <w:shd w:val="clear" w:color="auto" w:fill="B4C6E7" w:themeFill="accent5" w:themeFillTint="66"/>
            <w:tcMar>
              <w:left w:w="70" w:type="dxa"/>
              <w:right w:w="70" w:type="dxa"/>
            </w:tcMar>
            <w:vAlign w:val="center"/>
          </w:tcPr>
          <w:p w14:paraId="6BBEC292" w14:textId="6F0573CC" w:rsidR="5161137D" w:rsidRPr="006068A2" w:rsidRDefault="5161137D" w:rsidP="0054461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50%</w:t>
            </w:r>
          </w:p>
        </w:tc>
      </w:tr>
      <w:tr w:rsidR="5161137D" w:rsidRPr="006068A2" w14:paraId="64A4669B" w14:textId="77777777" w:rsidTr="00300C3E">
        <w:trPr>
          <w:trHeight w:val="378"/>
          <w:jc w:val="center"/>
        </w:trPr>
        <w:tc>
          <w:tcPr>
            <w:tcW w:w="3405" w:type="dxa"/>
            <w:vMerge w:val="restart"/>
            <w:shd w:val="clear" w:color="auto" w:fill="FFFFFF" w:themeFill="background1"/>
            <w:tcMar>
              <w:left w:w="70" w:type="dxa"/>
              <w:right w:w="70" w:type="dxa"/>
            </w:tcMar>
            <w:vAlign w:val="center"/>
          </w:tcPr>
          <w:p w14:paraId="371CF422" w14:textId="163D24FF"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Total, PQRS determinadas como de Riesgo Priorizado * 100</w:t>
            </w:r>
          </w:p>
        </w:tc>
        <w:tc>
          <w:tcPr>
            <w:tcW w:w="1343" w:type="dxa"/>
            <w:shd w:val="clear" w:color="auto" w:fill="FFFFFF" w:themeFill="background1"/>
            <w:tcMar>
              <w:left w:w="70" w:type="dxa"/>
              <w:right w:w="70" w:type="dxa"/>
            </w:tcMar>
            <w:vAlign w:val="center"/>
          </w:tcPr>
          <w:p w14:paraId="7383DDD4" w14:textId="055E3BF7"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 Sem. 2025</w:t>
            </w:r>
          </w:p>
        </w:tc>
        <w:tc>
          <w:tcPr>
            <w:tcW w:w="1959" w:type="dxa"/>
            <w:shd w:val="clear" w:color="auto" w:fill="FFFFFF" w:themeFill="background1"/>
            <w:tcMar>
              <w:left w:w="70" w:type="dxa"/>
              <w:right w:w="70" w:type="dxa"/>
            </w:tcMar>
            <w:vAlign w:val="center"/>
          </w:tcPr>
          <w:p w14:paraId="32373001" w14:textId="0C442778" w:rsidR="5161137D" w:rsidRPr="006068A2" w:rsidRDefault="5161137D" w:rsidP="00874648">
            <w:pPr>
              <w:spacing w:line="360" w:lineRule="auto"/>
              <w:jc w:val="center"/>
              <w:rPr>
                <w:rFonts w:ascii="Arial" w:eastAsia="Arial" w:hAnsi="Arial" w:cs="Arial"/>
                <w:color w:val="000000" w:themeColor="text1"/>
                <w:sz w:val="22"/>
                <w:szCs w:val="22"/>
                <w:lang w:val="es"/>
              </w:rPr>
            </w:pPr>
            <w:r w:rsidRPr="006068A2">
              <w:rPr>
                <w:rFonts w:ascii="Arial" w:eastAsia="Arial" w:hAnsi="Arial" w:cs="Arial"/>
                <w:color w:val="242424"/>
                <w:sz w:val="22"/>
                <w:szCs w:val="22"/>
                <w:lang w:val="es"/>
              </w:rPr>
              <w:t xml:space="preserve">509 / 612 </w:t>
            </w:r>
            <w:r w:rsidRPr="006068A2">
              <w:rPr>
                <w:rFonts w:ascii="Arial" w:eastAsia="Arial" w:hAnsi="Arial" w:cs="Arial"/>
                <w:color w:val="000000" w:themeColor="text1"/>
                <w:sz w:val="22"/>
                <w:szCs w:val="22"/>
                <w:lang w:val="es"/>
              </w:rPr>
              <w:t>*100</w:t>
            </w:r>
          </w:p>
        </w:tc>
        <w:tc>
          <w:tcPr>
            <w:tcW w:w="1859" w:type="dxa"/>
            <w:tcMar>
              <w:left w:w="70" w:type="dxa"/>
              <w:right w:w="70" w:type="dxa"/>
            </w:tcMar>
            <w:vAlign w:val="center"/>
          </w:tcPr>
          <w:p w14:paraId="4592A7CE" w14:textId="4D5DE76F"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83,17%</w:t>
            </w:r>
          </w:p>
        </w:tc>
      </w:tr>
      <w:tr w:rsidR="5161137D" w:rsidRPr="006068A2" w14:paraId="5D63BDAE" w14:textId="77777777" w:rsidTr="00300C3E">
        <w:trPr>
          <w:trHeight w:val="378"/>
          <w:jc w:val="center"/>
        </w:trPr>
        <w:tc>
          <w:tcPr>
            <w:tcW w:w="3405" w:type="dxa"/>
            <w:vMerge/>
            <w:vAlign w:val="center"/>
          </w:tcPr>
          <w:p w14:paraId="77BDC750" w14:textId="77777777" w:rsidR="00EE3AD7" w:rsidRPr="006068A2" w:rsidRDefault="00EE3AD7" w:rsidP="006068A2">
            <w:pPr>
              <w:spacing w:line="360" w:lineRule="auto"/>
              <w:jc w:val="both"/>
              <w:rPr>
                <w:rFonts w:ascii="Arial" w:hAnsi="Arial" w:cs="Arial"/>
                <w:sz w:val="22"/>
                <w:szCs w:val="22"/>
              </w:rPr>
            </w:pPr>
          </w:p>
        </w:tc>
        <w:tc>
          <w:tcPr>
            <w:tcW w:w="1343" w:type="dxa"/>
            <w:shd w:val="clear" w:color="auto" w:fill="FFFFFF" w:themeFill="background1"/>
            <w:tcMar>
              <w:left w:w="70" w:type="dxa"/>
              <w:right w:w="70" w:type="dxa"/>
            </w:tcMar>
            <w:vAlign w:val="center"/>
          </w:tcPr>
          <w:p w14:paraId="00243DED" w14:textId="4AEA1643"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II Sem. 2025</w:t>
            </w:r>
          </w:p>
        </w:tc>
        <w:tc>
          <w:tcPr>
            <w:tcW w:w="1959" w:type="dxa"/>
            <w:shd w:val="clear" w:color="auto" w:fill="FFFFFF" w:themeFill="background1"/>
            <w:tcMar>
              <w:left w:w="70" w:type="dxa"/>
              <w:right w:w="70" w:type="dxa"/>
            </w:tcMar>
            <w:vAlign w:val="center"/>
          </w:tcPr>
          <w:p w14:paraId="7CB9837E" w14:textId="63EEA31D" w:rsidR="5161137D" w:rsidRPr="006068A2" w:rsidRDefault="5161137D" w:rsidP="00874648">
            <w:pPr>
              <w:spacing w:line="360" w:lineRule="auto"/>
              <w:jc w:val="center"/>
              <w:rPr>
                <w:rFonts w:ascii="Arial" w:eastAsia="Arial" w:hAnsi="Arial" w:cs="Arial"/>
                <w:color w:val="242424"/>
                <w:sz w:val="22"/>
                <w:szCs w:val="22"/>
              </w:rPr>
            </w:pPr>
            <w:r w:rsidRPr="006068A2">
              <w:rPr>
                <w:rFonts w:ascii="Arial" w:eastAsia="Arial" w:hAnsi="Arial" w:cs="Arial"/>
                <w:color w:val="242424"/>
                <w:sz w:val="22"/>
                <w:szCs w:val="22"/>
              </w:rPr>
              <w:t>351 / 632 *100</w:t>
            </w:r>
          </w:p>
        </w:tc>
        <w:tc>
          <w:tcPr>
            <w:tcW w:w="1859" w:type="dxa"/>
            <w:tcMar>
              <w:left w:w="70" w:type="dxa"/>
              <w:right w:w="70" w:type="dxa"/>
            </w:tcMar>
            <w:vAlign w:val="center"/>
          </w:tcPr>
          <w:p w14:paraId="364B0D99" w14:textId="0977A52C"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55,54%</w:t>
            </w:r>
          </w:p>
        </w:tc>
      </w:tr>
      <w:tr w:rsidR="5161137D" w:rsidRPr="006068A2" w14:paraId="5476C5C6" w14:textId="77777777" w:rsidTr="00300C3E">
        <w:trPr>
          <w:trHeight w:val="378"/>
          <w:jc w:val="center"/>
        </w:trPr>
        <w:tc>
          <w:tcPr>
            <w:tcW w:w="3405" w:type="dxa"/>
            <w:shd w:val="clear" w:color="auto" w:fill="B4C6E7" w:themeFill="accent5" w:themeFillTint="66"/>
            <w:tcMar>
              <w:left w:w="70" w:type="dxa"/>
              <w:right w:w="70" w:type="dxa"/>
            </w:tcMar>
            <w:vAlign w:val="center"/>
          </w:tcPr>
          <w:p w14:paraId="1656D2F8" w14:textId="038C2B86"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lastRenderedPageBreak/>
              <w:t>TOTAL</w:t>
            </w:r>
          </w:p>
        </w:tc>
        <w:tc>
          <w:tcPr>
            <w:tcW w:w="1343" w:type="dxa"/>
            <w:shd w:val="clear" w:color="auto" w:fill="B4C6E7" w:themeFill="accent5" w:themeFillTint="66"/>
            <w:tcMar>
              <w:left w:w="70" w:type="dxa"/>
              <w:right w:w="70" w:type="dxa"/>
            </w:tcMar>
            <w:vAlign w:val="center"/>
          </w:tcPr>
          <w:p w14:paraId="021C1E81" w14:textId="58204CE4" w:rsidR="5161137D" w:rsidRPr="006068A2" w:rsidRDefault="5161137D" w:rsidP="0054461B">
            <w:pPr>
              <w:spacing w:line="360" w:lineRule="auto"/>
              <w:jc w:val="center"/>
              <w:rPr>
                <w:rFonts w:ascii="Arial" w:eastAsia="Arial" w:hAnsi="Arial" w:cs="Arial"/>
                <w:color w:val="000000" w:themeColor="text1"/>
                <w:sz w:val="22"/>
                <w:szCs w:val="22"/>
              </w:rPr>
            </w:pPr>
          </w:p>
        </w:tc>
        <w:tc>
          <w:tcPr>
            <w:tcW w:w="1959" w:type="dxa"/>
            <w:shd w:val="clear" w:color="auto" w:fill="B4C6E7" w:themeFill="accent5" w:themeFillTint="66"/>
            <w:tcMar>
              <w:left w:w="70" w:type="dxa"/>
              <w:right w:w="70" w:type="dxa"/>
            </w:tcMar>
            <w:vAlign w:val="center"/>
          </w:tcPr>
          <w:p w14:paraId="2FFF49E5" w14:textId="68765FAE" w:rsidR="5161137D" w:rsidRPr="006068A2" w:rsidRDefault="5161137D" w:rsidP="00874648">
            <w:pPr>
              <w:spacing w:line="360" w:lineRule="auto"/>
              <w:jc w:val="center"/>
              <w:rPr>
                <w:rFonts w:ascii="Arial" w:eastAsia="Arial" w:hAnsi="Arial" w:cs="Arial"/>
                <w:b/>
                <w:bCs/>
                <w:color w:val="242424"/>
                <w:sz w:val="22"/>
                <w:szCs w:val="22"/>
              </w:rPr>
            </w:pPr>
            <w:r w:rsidRPr="006068A2">
              <w:rPr>
                <w:rFonts w:ascii="Arial" w:eastAsia="Arial" w:hAnsi="Arial" w:cs="Arial"/>
                <w:b/>
                <w:bCs/>
                <w:color w:val="242424"/>
                <w:sz w:val="22"/>
                <w:szCs w:val="22"/>
              </w:rPr>
              <w:t>860 / 1.244 *100</w:t>
            </w:r>
          </w:p>
        </w:tc>
        <w:tc>
          <w:tcPr>
            <w:tcW w:w="1859" w:type="dxa"/>
            <w:shd w:val="clear" w:color="auto" w:fill="B4C6E7" w:themeFill="accent5" w:themeFillTint="66"/>
            <w:tcMar>
              <w:left w:w="70" w:type="dxa"/>
              <w:right w:w="70" w:type="dxa"/>
            </w:tcMar>
            <w:vAlign w:val="center"/>
          </w:tcPr>
          <w:p w14:paraId="239B9A51" w14:textId="5547BEBF" w:rsidR="5161137D" w:rsidRPr="006068A2" w:rsidRDefault="5161137D" w:rsidP="0054461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69,13%</w:t>
            </w:r>
          </w:p>
        </w:tc>
      </w:tr>
      <w:tr w:rsidR="5161137D" w:rsidRPr="006068A2" w14:paraId="5CE13EB4" w14:textId="77777777" w:rsidTr="00300C3E">
        <w:trPr>
          <w:trHeight w:val="378"/>
          <w:jc w:val="center"/>
        </w:trPr>
        <w:tc>
          <w:tcPr>
            <w:tcW w:w="3405" w:type="dxa"/>
            <w:vMerge w:val="restart"/>
            <w:shd w:val="clear" w:color="auto" w:fill="FFFFFF" w:themeFill="background1"/>
            <w:tcMar>
              <w:left w:w="70" w:type="dxa"/>
              <w:right w:w="70" w:type="dxa"/>
            </w:tcMar>
            <w:vAlign w:val="center"/>
          </w:tcPr>
          <w:p w14:paraId="09397A56" w14:textId="48B6C73D"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Total, PQRS determinadas como de Riesgo Simple * 100</w:t>
            </w:r>
          </w:p>
        </w:tc>
        <w:tc>
          <w:tcPr>
            <w:tcW w:w="1343" w:type="dxa"/>
            <w:shd w:val="clear" w:color="auto" w:fill="FFFFFF" w:themeFill="background1"/>
            <w:tcMar>
              <w:left w:w="70" w:type="dxa"/>
              <w:right w:w="70" w:type="dxa"/>
            </w:tcMar>
            <w:vAlign w:val="center"/>
          </w:tcPr>
          <w:p w14:paraId="4C0C6005" w14:textId="36CAC62F"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 Sem. 2025</w:t>
            </w:r>
          </w:p>
        </w:tc>
        <w:tc>
          <w:tcPr>
            <w:tcW w:w="1959" w:type="dxa"/>
            <w:shd w:val="clear" w:color="auto" w:fill="FFFFFF" w:themeFill="background1"/>
            <w:tcMar>
              <w:left w:w="70" w:type="dxa"/>
              <w:right w:w="70" w:type="dxa"/>
            </w:tcMar>
            <w:vAlign w:val="center"/>
          </w:tcPr>
          <w:p w14:paraId="12FA7D82" w14:textId="53A342B5" w:rsidR="5161137D" w:rsidRPr="006068A2" w:rsidRDefault="5161137D" w:rsidP="00874648">
            <w:pPr>
              <w:spacing w:line="360" w:lineRule="auto"/>
              <w:jc w:val="center"/>
              <w:rPr>
                <w:rFonts w:ascii="Arial" w:eastAsia="Arial" w:hAnsi="Arial" w:cs="Arial"/>
                <w:color w:val="000000" w:themeColor="text1"/>
                <w:sz w:val="22"/>
                <w:szCs w:val="22"/>
                <w:lang w:val="es"/>
              </w:rPr>
            </w:pPr>
            <w:r w:rsidRPr="006068A2">
              <w:rPr>
                <w:rFonts w:ascii="Arial" w:eastAsia="Arial" w:hAnsi="Arial" w:cs="Arial"/>
                <w:color w:val="242424"/>
                <w:sz w:val="22"/>
                <w:szCs w:val="22"/>
                <w:lang w:val="es"/>
              </w:rPr>
              <w:t xml:space="preserve">784 / 1.002 </w:t>
            </w:r>
            <w:r w:rsidRPr="006068A2">
              <w:rPr>
                <w:rFonts w:ascii="Arial" w:eastAsia="Arial" w:hAnsi="Arial" w:cs="Arial"/>
                <w:color w:val="000000" w:themeColor="text1"/>
                <w:sz w:val="22"/>
                <w:szCs w:val="22"/>
                <w:lang w:val="es"/>
              </w:rPr>
              <w:t>*100</w:t>
            </w:r>
          </w:p>
        </w:tc>
        <w:tc>
          <w:tcPr>
            <w:tcW w:w="1859" w:type="dxa"/>
            <w:tcMar>
              <w:left w:w="70" w:type="dxa"/>
              <w:right w:w="70" w:type="dxa"/>
            </w:tcMar>
            <w:vAlign w:val="center"/>
          </w:tcPr>
          <w:p w14:paraId="707DA52F" w14:textId="6AF6BF72"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78,24%</w:t>
            </w:r>
          </w:p>
        </w:tc>
      </w:tr>
      <w:tr w:rsidR="5161137D" w:rsidRPr="006068A2" w14:paraId="776B5CE6" w14:textId="77777777" w:rsidTr="00300C3E">
        <w:trPr>
          <w:trHeight w:val="378"/>
          <w:jc w:val="center"/>
        </w:trPr>
        <w:tc>
          <w:tcPr>
            <w:tcW w:w="3405" w:type="dxa"/>
            <w:vMerge/>
            <w:vAlign w:val="center"/>
          </w:tcPr>
          <w:p w14:paraId="0EF04520" w14:textId="77777777" w:rsidR="00EE3AD7" w:rsidRPr="006068A2" w:rsidRDefault="00EE3AD7" w:rsidP="006068A2">
            <w:pPr>
              <w:spacing w:line="360" w:lineRule="auto"/>
              <w:jc w:val="both"/>
              <w:rPr>
                <w:rFonts w:ascii="Arial" w:hAnsi="Arial" w:cs="Arial"/>
                <w:sz w:val="22"/>
                <w:szCs w:val="22"/>
              </w:rPr>
            </w:pPr>
          </w:p>
        </w:tc>
        <w:tc>
          <w:tcPr>
            <w:tcW w:w="1343" w:type="dxa"/>
            <w:shd w:val="clear" w:color="auto" w:fill="FFFFFF" w:themeFill="background1"/>
            <w:tcMar>
              <w:left w:w="70" w:type="dxa"/>
              <w:right w:w="70" w:type="dxa"/>
            </w:tcMar>
            <w:vAlign w:val="center"/>
          </w:tcPr>
          <w:p w14:paraId="7078E219" w14:textId="3D3C9640" w:rsidR="5161137D" w:rsidRPr="006068A2" w:rsidRDefault="5161137D" w:rsidP="0054461B">
            <w:pPr>
              <w:spacing w:line="360" w:lineRule="auto"/>
              <w:jc w:val="center"/>
              <w:rPr>
                <w:rFonts w:ascii="Arial" w:eastAsia="Arial" w:hAnsi="Arial" w:cs="Arial"/>
                <w:color w:val="000000" w:themeColor="text1"/>
                <w:sz w:val="22"/>
                <w:szCs w:val="22"/>
              </w:rPr>
            </w:pPr>
            <w:r w:rsidRPr="006068A2">
              <w:rPr>
                <w:rFonts w:ascii="Arial" w:eastAsia="Arial" w:hAnsi="Arial" w:cs="Arial"/>
                <w:color w:val="000000" w:themeColor="text1"/>
                <w:sz w:val="22"/>
                <w:szCs w:val="22"/>
              </w:rPr>
              <w:t>II Sem. 2025</w:t>
            </w:r>
          </w:p>
        </w:tc>
        <w:tc>
          <w:tcPr>
            <w:tcW w:w="1959" w:type="dxa"/>
            <w:shd w:val="clear" w:color="auto" w:fill="FFFFFF" w:themeFill="background1"/>
            <w:tcMar>
              <w:left w:w="70" w:type="dxa"/>
              <w:right w:w="70" w:type="dxa"/>
            </w:tcMar>
            <w:vAlign w:val="center"/>
          </w:tcPr>
          <w:p w14:paraId="2AE63FF8" w14:textId="295D8BF3" w:rsidR="5161137D" w:rsidRPr="006068A2" w:rsidRDefault="5161137D" w:rsidP="00874648">
            <w:pPr>
              <w:spacing w:line="360" w:lineRule="auto"/>
              <w:jc w:val="center"/>
              <w:rPr>
                <w:rFonts w:ascii="Arial" w:eastAsia="Arial" w:hAnsi="Arial" w:cs="Arial"/>
                <w:color w:val="242424"/>
                <w:sz w:val="22"/>
                <w:szCs w:val="22"/>
              </w:rPr>
            </w:pPr>
            <w:r w:rsidRPr="006068A2">
              <w:rPr>
                <w:rFonts w:ascii="Arial" w:eastAsia="Arial" w:hAnsi="Arial" w:cs="Arial"/>
                <w:color w:val="242424"/>
                <w:sz w:val="22"/>
                <w:szCs w:val="22"/>
              </w:rPr>
              <w:t>389 / 1.116 *100</w:t>
            </w:r>
          </w:p>
        </w:tc>
        <w:tc>
          <w:tcPr>
            <w:tcW w:w="1859" w:type="dxa"/>
            <w:shd w:val="clear" w:color="auto" w:fill="FFFFFF" w:themeFill="background1"/>
            <w:tcMar>
              <w:left w:w="70" w:type="dxa"/>
              <w:right w:w="70" w:type="dxa"/>
            </w:tcMar>
            <w:vAlign w:val="center"/>
          </w:tcPr>
          <w:p w14:paraId="756F2815" w14:textId="13C8C811" w:rsidR="5161137D" w:rsidRPr="006068A2" w:rsidRDefault="5161137D" w:rsidP="0054461B">
            <w:pPr>
              <w:spacing w:line="360" w:lineRule="auto"/>
              <w:jc w:val="center"/>
              <w:rPr>
                <w:rFonts w:ascii="Arial" w:eastAsia="Arial" w:hAnsi="Arial" w:cs="Arial"/>
                <w:color w:val="242424"/>
                <w:sz w:val="22"/>
                <w:szCs w:val="22"/>
              </w:rPr>
            </w:pPr>
            <w:r w:rsidRPr="006068A2">
              <w:rPr>
                <w:rFonts w:ascii="Arial" w:eastAsia="Arial" w:hAnsi="Arial" w:cs="Arial"/>
                <w:color w:val="242424"/>
                <w:sz w:val="22"/>
                <w:szCs w:val="22"/>
              </w:rPr>
              <w:t>34,85%</w:t>
            </w:r>
          </w:p>
        </w:tc>
      </w:tr>
      <w:tr w:rsidR="5161137D" w:rsidRPr="006068A2" w14:paraId="543B2E72" w14:textId="77777777" w:rsidTr="00300C3E">
        <w:trPr>
          <w:trHeight w:val="378"/>
          <w:jc w:val="center"/>
        </w:trPr>
        <w:tc>
          <w:tcPr>
            <w:tcW w:w="3405" w:type="dxa"/>
            <w:shd w:val="clear" w:color="auto" w:fill="B4C6E7" w:themeFill="accent5" w:themeFillTint="66"/>
            <w:tcMar>
              <w:left w:w="70" w:type="dxa"/>
              <w:right w:w="70" w:type="dxa"/>
            </w:tcMar>
            <w:vAlign w:val="center"/>
          </w:tcPr>
          <w:p w14:paraId="33F7AEB7" w14:textId="1E8321F8" w:rsidR="5161137D" w:rsidRPr="006068A2" w:rsidRDefault="5161137D" w:rsidP="006068A2">
            <w:pPr>
              <w:spacing w:line="360" w:lineRule="auto"/>
              <w:jc w:val="both"/>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TOTAL</w:t>
            </w:r>
          </w:p>
        </w:tc>
        <w:tc>
          <w:tcPr>
            <w:tcW w:w="1343" w:type="dxa"/>
            <w:shd w:val="clear" w:color="auto" w:fill="B4C6E7" w:themeFill="accent5" w:themeFillTint="66"/>
            <w:tcMar>
              <w:left w:w="70" w:type="dxa"/>
              <w:right w:w="70" w:type="dxa"/>
            </w:tcMar>
            <w:vAlign w:val="center"/>
          </w:tcPr>
          <w:p w14:paraId="11671A0C" w14:textId="521BDDC9" w:rsidR="5161137D" w:rsidRPr="006068A2" w:rsidRDefault="5161137D" w:rsidP="006068A2">
            <w:pPr>
              <w:spacing w:line="360" w:lineRule="auto"/>
              <w:jc w:val="both"/>
              <w:rPr>
                <w:rFonts w:ascii="Arial" w:eastAsia="Arial" w:hAnsi="Arial" w:cs="Arial"/>
                <w:color w:val="000000" w:themeColor="text1"/>
                <w:sz w:val="22"/>
                <w:szCs w:val="22"/>
              </w:rPr>
            </w:pPr>
            <w:r w:rsidRPr="006068A2">
              <w:rPr>
                <w:rFonts w:ascii="Arial" w:eastAsia="Arial" w:hAnsi="Arial" w:cs="Arial"/>
                <w:color w:val="000000" w:themeColor="text1"/>
                <w:sz w:val="22"/>
                <w:szCs w:val="22"/>
              </w:rPr>
              <w:t xml:space="preserve"> </w:t>
            </w:r>
          </w:p>
        </w:tc>
        <w:tc>
          <w:tcPr>
            <w:tcW w:w="1959" w:type="dxa"/>
            <w:shd w:val="clear" w:color="auto" w:fill="B4C6E7" w:themeFill="accent5" w:themeFillTint="66"/>
            <w:tcMar>
              <w:left w:w="70" w:type="dxa"/>
              <w:right w:w="70" w:type="dxa"/>
            </w:tcMar>
            <w:vAlign w:val="center"/>
          </w:tcPr>
          <w:p w14:paraId="1BFEF151" w14:textId="4A675142" w:rsidR="5161137D" w:rsidRPr="006068A2" w:rsidRDefault="5161137D" w:rsidP="00874648">
            <w:pPr>
              <w:spacing w:line="360" w:lineRule="auto"/>
              <w:jc w:val="center"/>
              <w:rPr>
                <w:rFonts w:ascii="Arial" w:eastAsia="Arial" w:hAnsi="Arial" w:cs="Arial"/>
                <w:b/>
                <w:bCs/>
                <w:color w:val="242424"/>
                <w:sz w:val="22"/>
                <w:szCs w:val="22"/>
              </w:rPr>
            </w:pPr>
            <w:r w:rsidRPr="006068A2">
              <w:rPr>
                <w:rFonts w:ascii="Arial" w:eastAsia="Arial" w:hAnsi="Arial" w:cs="Arial"/>
                <w:b/>
                <w:bCs/>
                <w:color w:val="242424"/>
                <w:sz w:val="22"/>
                <w:szCs w:val="22"/>
              </w:rPr>
              <w:t>1.173 / 2.118 *100</w:t>
            </w:r>
          </w:p>
        </w:tc>
        <w:tc>
          <w:tcPr>
            <w:tcW w:w="1859" w:type="dxa"/>
            <w:shd w:val="clear" w:color="auto" w:fill="B4C6E7" w:themeFill="accent5" w:themeFillTint="66"/>
            <w:tcMar>
              <w:left w:w="70" w:type="dxa"/>
              <w:right w:w="70" w:type="dxa"/>
            </w:tcMar>
            <w:vAlign w:val="center"/>
          </w:tcPr>
          <w:p w14:paraId="5E1A624B" w14:textId="3DC1486C" w:rsidR="5161137D" w:rsidRPr="006068A2" w:rsidRDefault="5161137D" w:rsidP="0054461B">
            <w:pPr>
              <w:spacing w:line="360" w:lineRule="auto"/>
              <w:jc w:val="center"/>
              <w:rPr>
                <w:rFonts w:ascii="Arial" w:eastAsia="Arial" w:hAnsi="Arial" w:cs="Arial"/>
                <w:b/>
                <w:bCs/>
                <w:color w:val="000000" w:themeColor="text1"/>
                <w:sz w:val="22"/>
                <w:szCs w:val="22"/>
              </w:rPr>
            </w:pPr>
            <w:r w:rsidRPr="006068A2">
              <w:rPr>
                <w:rFonts w:ascii="Arial" w:eastAsia="Arial" w:hAnsi="Arial" w:cs="Arial"/>
                <w:b/>
                <w:bCs/>
                <w:color w:val="000000" w:themeColor="text1"/>
                <w:sz w:val="22"/>
                <w:szCs w:val="22"/>
              </w:rPr>
              <w:t>55,38%</w:t>
            </w:r>
          </w:p>
        </w:tc>
      </w:tr>
    </w:tbl>
    <w:p w14:paraId="4C4878D7" w14:textId="0A948E66" w:rsidR="4CE92E66" w:rsidRPr="00565FCA" w:rsidRDefault="68D5EC6B" w:rsidP="006068A2">
      <w:pPr>
        <w:spacing w:line="360" w:lineRule="auto"/>
        <w:jc w:val="both"/>
        <w:rPr>
          <w:rFonts w:ascii="Arial" w:eastAsia="Arial" w:hAnsi="Arial" w:cs="Arial"/>
          <w:sz w:val="16"/>
          <w:szCs w:val="16"/>
          <w:lang w:val="es-ES"/>
        </w:rPr>
      </w:pPr>
      <w:r w:rsidRPr="00565FCA">
        <w:rPr>
          <w:rFonts w:ascii="Arial" w:eastAsia="Arial" w:hAnsi="Arial" w:cs="Arial"/>
          <w:sz w:val="16"/>
          <w:szCs w:val="16"/>
          <w:lang w:val="es-ES"/>
        </w:rPr>
        <w:t xml:space="preserve">Fuente: Base de datos </w:t>
      </w:r>
      <w:r w:rsidRPr="00565FCA">
        <w:rPr>
          <w:rFonts w:ascii="Arial" w:eastAsia="Arial" w:hAnsi="Arial" w:cs="Arial"/>
          <w:sz w:val="16"/>
          <w:szCs w:val="16"/>
          <w:lang w:val="es-MX"/>
        </w:rPr>
        <w:t xml:space="preserve">aplicativo </w:t>
      </w:r>
      <w:r w:rsidRPr="00565FCA">
        <w:rPr>
          <w:rFonts w:ascii="Arial" w:eastAsia="Arial" w:hAnsi="Arial" w:cs="Arial"/>
          <w:sz w:val="16"/>
          <w:szCs w:val="16"/>
          <w:lang w:val="es-ES"/>
        </w:rPr>
        <w:t>Endomarketing 2025</w:t>
      </w:r>
      <w:r w:rsidRPr="00565FCA">
        <w:rPr>
          <w:rFonts w:ascii="Arial" w:eastAsia="Arial" w:hAnsi="Arial" w:cs="Arial"/>
          <w:sz w:val="16"/>
          <w:szCs w:val="16"/>
          <w:lang w:val="es-MX"/>
        </w:rPr>
        <w:t xml:space="preserve">- </w:t>
      </w:r>
      <w:r w:rsidRPr="00565FCA">
        <w:rPr>
          <w:rFonts w:ascii="Arial" w:eastAsia="Arial" w:hAnsi="Arial" w:cs="Arial"/>
          <w:sz w:val="16"/>
          <w:szCs w:val="16"/>
          <w:lang w:val="es-ES"/>
        </w:rPr>
        <w:t xml:space="preserve">Información reportada por la Entidad COOSALUD </w:t>
      </w:r>
      <w:r w:rsidR="00E54DC5" w:rsidRPr="00565FCA">
        <w:rPr>
          <w:rFonts w:ascii="Arial" w:eastAsia="Arial" w:hAnsi="Arial" w:cs="Arial"/>
          <w:sz w:val="16"/>
          <w:szCs w:val="16"/>
          <w:lang w:val="es-ES"/>
        </w:rPr>
        <w:t>– SDS diciembre de 202</w:t>
      </w:r>
      <w:r w:rsidR="00FE6EE9">
        <w:rPr>
          <w:rFonts w:ascii="Arial" w:eastAsia="Arial" w:hAnsi="Arial" w:cs="Arial"/>
          <w:sz w:val="16"/>
          <w:szCs w:val="16"/>
          <w:lang w:val="es-ES"/>
        </w:rPr>
        <w:t>5</w:t>
      </w:r>
      <w:r w:rsidR="00E54DC5" w:rsidRPr="00565FCA">
        <w:rPr>
          <w:rFonts w:ascii="Arial" w:eastAsia="Arial" w:hAnsi="Arial" w:cs="Arial"/>
          <w:sz w:val="16"/>
          <w:szCs w:val="16"/>
          <w:lang w:val="es-ES"/>
        </w:rPr>
        <w:t>.</w:t>
      </w:r>
    </w:p>
    <w:p w14:paraId="4661999C" w14:textId="4222314B" w:rsidR="4CE92E66" w:rsidRPr="006068A2" w:rsidRDefault="4CE92E66" w:rsidP="006068A2">
      <w:pPr>
        <w:spacing w:line="360" w:lineRule="auto"/>
        <w:jc w:val="both"/>
        <w:rPr>
          <w:rFonts w:ascii="Arial" w:hAnsi="Arial" w:cs="Arial"/>
          <w:sz w:val="22"/>
          <w:szCs w:val="22"/>
          <w:lang w:val="es-ES"/>
        </w:rPr>
      </w:pPr>
    </w:p>
    <w:p w14:paraId="7FD1C72D" w14:textId="77777777" w:rsidR="00273BC4" w:rsidRPr="00273BC4" w:rsidRDefault="4CE92E66" w:rsidP="00273BC4">
      <w:pPr>
        <w:spacing w:line="360" w:lineRule="auto"/>
        <w:jc w:val="both"/>
        <w:rPr>
          <w:rFonts w:ascii="Arial" w:eastAsia="Arial" w:hAnsi="Arial" w:cs="Arial"/>
          <w:color w:val="000000" w:themeColor="text1"/>
          <w:sz w:val="22"/>
          <w:szCs w:val="22"/>
          <w:lang w:val="es-ES"/>
        </w:rPr>
      </w:pPr>
      <w:r w:rsidRPr="006068A2">
        <w:rPr>
          <w:rFonts w:ascii="Arial" w:eastAsia="Arial" w:hAnsi="Arial" w:cs="Arial"/>
          <w:color w:val="000000" w:themeColor="text1"/>
          <w:sz w:val="22"/>
          <w:szCs w:val="22"/>
          <w:lang w:val="es-ES"/>
        </w:rPr>
        <w:t xml:space="preserve"> </w:t>
      </w:r>
      <w:r w:rsidR="00273BC4" w:rsidRPr="00273BC4">
        <w:rPr>
          <w:rFonts w:ascii="Arial" w:eastAsia="Arial" w:hAnsi="Arial" w:cs="Arial"/>
          <w:color w:val="000000" w:themeColor="text1"/>
          <w:sz w:val="22"/>
          <w:szCs w:val="22"/>
          <w:lang w:val="es-ES"/>
        </w:rPr>
        <w:t>Los resultados evidencian niveles relevantes de incumplimiento en los tiempos de respuesta a las PQRS, particularmente en las categorías de riesgo priorizado y riesgo simple, que concentran el mayor volumen de manifestaciones y presentan afectaciones significativas en la oportunidad de gestión. En la categoría de riesgo vital, el incumplimiento fue de 50% tanto en el primer como en el segundo semestre de 2025, para un total anual de 3 respuestas extemporáneas sobre 6 casos analizados. Aunque el volumen absoluto es bajo, este resultado es altamente sensible, dado que se trata de situaciones asociadas a eventos que pueden comprometer de manera inmediata la vida o la integridad de los usuarios.</w:t>
      </w:r>
    </w:p>
    <w:p w14:paraId="2DD2F3E6"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10E37D6C"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t>En las PQRS clasificadas como riesgo priorizado se observó un incumplimiento acumulado de 69,13%, correspondiente a 860 respuestas fuera de término sobre 1.244 manifestaciones. Si bien el comportamiento del indicador mostró una mejora en el segundo semestre de 2025, al descender de 83,17% a 55,54%, el nivel de inoportunidad continúa siendo elevado y refleja dificultades importantes para responder dentro de los tiempos establecidos en una categoría que exige atención preferente.</w:t>
      </w:r>
    </w:p>
    <w:p w14:paraId="024F5AED"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395FDC89"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t>Por su parte, las PQRS clasificadas como riesgo simple registraron un incumplimiento acumulado de 55,38%, equivalente a 1.173 respuestas extemporáneas sobre 2.118 manifestaciones. En esta categoría también se observó una mejora entre semestres, al pasar de 78,24% en el primero a 34,85% en el segundo; no obstante, el volumen de casos y la persistencia de respuestas fuera de término indican que aún subsisten brechas relevantes en la capacidad de gestión y cierre oportuno de las solicitudes.</w:t>
      </w:r>
    </w:p>
    <w:p w14:paraId="2D9C5495"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61659651"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lastRenderedPageBreak/>
        <w:t>Desde una perspectiva de gestión, este comportamiento es consistente con posibles debilidades en el proceso de clasificación, priorización, asignación y articulación con las áreas responsables de la respuesta. En particular, los altos niveles de incumplimiento en categorías con tiempos de respuesta cortos, entre 24 y 72 horas, sugieren la existencia de cuellos de botella en el flujo operativo, asociados al escalamiento oportuno de los casos, al seguimiento interno y al cierre efectivo de las manifestaciones. Asimismo, la decisión de integrar las PQRS generales dentro de la categoría de riesgo simple incrementa la carga operativa de esta clasificación y puede afectar la oportunidad de respuesta si no existen mecanismos diferenciados de priorización interna.</w:t>
      </w:r>
    </w:p>
    <w:p w14:paraId="1144987D"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0F9ABEF1"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t>Si bien la reducción del incumplimiento en el segundo semestre para las categorías de riesgo priorizado y riesgo simple podría reflejar ajustes en la gestión institucional, los niveles observados siguen siendo suficientemente altos como para requerir acciones de mejora sostenidas. En este contexto, resulta pertinente fortalecer mecanismos de alerta temprana de vencimiento, seguimiento por etapas del proceso, definición de responsables por tipo de riesgo y refuerzo de la capacidad operativa en los puntos críticos de la gestión.</w:t>
      </w:r>
    </w:p>
    <w:p w14:paraId="3E9BDAA0"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7C1EF301"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r w:rsidRPr="00273BC4">
        <w:rPr>
          <w:rFonts w:ascii="Arial" w:eastAsia="Arial" w:hAnsi="Arial" w:cs="Arial"/>
          <w:color w:val="000000" w:themeColor="text1"/>
          <w:sz w:val="22"/>
          <w:szCs w:val="22"/>
          <w:lang w:val="es-ES"/>
        </w:rPr>
        <w:t>La inoportunidad en la respuesta a las PQRS tiene implicaciones directas sobre la experiencia del usuario, en la medida en que puede mantener barreras para el acceso oportuno a los servicios de salud, generar desconfianza frente a la capacidad de respuesta de la EPS e incrementar la reiteración de quejas asociadas a problemas persistentes, especialmente en acceso, autorizaciones y continuidad de la atención. En consecuencia, el incumplimiento en los tiempos de respuesta no solo configura un riesgo de carácter normativo y administrativo, sino también un factor que puede intensificar la insatisfacción de los usuarios, aumentar la presión sobre los canales de atención y derivar en un mayor uso de mecanismos judiciales como la acción de tutela.</w:t>
      </w:r>
    </w:p>
    <w:p w14:paraId="4A5D671F" w14:textId="77777777" w:rsidR="00273BC4" w:rsidRPr="00273BC4" w:rsidRDefault="00273BC4" w:rsidP="00273BC4">
      <w:pPr>
        <w:spacing w:line="360" w:lineRule="auto"/>
        <w:jc w:val="both"/>
        <w:rPr>
          <w:rFonts w:ascii="Arial" w:eastAsia="Arial" w:hAnsi="Arial" w:cs="Arial"/>
          <w:color w:val="000000" w:themeColor="text1"/>
          <w:sz w:val="22"/>
          <w:szCs w:val="22"/>
          <w:lang w:val="es-ES"/>
        </w:rPr>
      </w:pPr>
    </w:p>
    <w:p w14:paraId="30788782" w14:textId="7C49F08B" w:rsidR="01CF7B82" w:rsidRPr="006068A2" w:rsidRDefault="00273BC4" w:rsidP="00273BC4">
      <w:pPr>
        <w:spacing w:line="360" w:lineRule="auto"/>
        <w:jc w:val="both"/>
        <w:rPr>
          <w:rFonts w:ascii="Arial" w:hAnsi="Arial" w:cs="Arial"/>
          <w:color w:val="000000" w:themeColor="text1"/>
          <w:sz w:val="22"/>
          <w:szCs w:val="22"/>
        </w:rPr>
      </w:pPr>
      <w:r w:rsidRPr="00273BC4">
        <w:rPr>
          <w:rFonts w:ascii="Arial" w:eastAsia="Arial" w:hAnsi="Arial" w:cs="Arial"/>
          <w:color w:val="000000" w:themeColor="text1"/>
          <w:sz w:val="22"/>
          <w:szCs w:val="22"/>
          <w:lang w:val="es-ES"/>
        </w:rPr>
        <w:t xml:space="preserve">En síntesis, el comportamiento observado en 2025 evidencia una inoportunidad relevante en la gestión de las PQRS por parte de COOSALUD EPS, particularmente en las categorías de riesgo priorizado y riesgo simple, y una situación especialmente sensible en riesgo vital, donde cualquier incumplimiento adquiere alta criticidad por su potencial impacto sobre la vida y la integridad de los usuarios. Aunque se observa una mejoría en el segundo semestre en algunas categorías, los porcentajes de incumplimiento continúan siendo elevados, lo que </w:t>
      </w:r>
      <w:r w:rsidRPr="00273BC4">
        <w:rPr>
          <w:rFonts w:ascii="Arial" w:eastAsia="Arial" w:hAnsi="Arial" w:cs="Arial"/>
          <w:color w:val="000000" w:themeColor="text1"/>
          <w:sz w:val="22"/>
          <w:szCs w:val="22"/>
          <w:lang w:val="es-ES"/>
        </w:rPr>
        <w:lastRenderedPageBreak/>
        <w:t>sugiere la necesidad de fortalecer de manera estructural la capacidad de respuesta de la entidad. En este sentido, la gestión inoportuna de las PQRS no solo afecta el cumplimiento normativo, sino que también puede profundizar barreras de acceso, deteriorar la experiencia del usuario y comprometer la garantía efectiva del derecho a la salud de la población afiliada.</w:t>
      </w:r>
    </w:p>
    <w:p w14:paraId="3E7A5D44" w14:textId="69506381" w:rsidR="382B01F5" w:rsidRPr="006068A2" w:rsidRDefault="382B01F5" w:rsidP="006068A2">
      <w:pPr>
        <w:spacing w:line="360" w:lineRule="auto"/>
        <w:jc w:val="both"/>
        <w:rPr>
          <w:rFonts w:ascii="Arial" w:hAnsi="Arial" w:cs="Arial"/>
          <w:sz w:val="22"/>
          <w:szCs w:val="22"/>
        </w:rPr>
      </w:pPr>
    </w:p>
    <w:p w14:paraId="561161F4" w14:textId="6AD96A9B" w:rsidR="000C4AE0" w:rsidRPr="006068A2" w:rsidRDefault="401FC128" w:rsidP="006068A2">
      <w:pPr>
        <w:pStyle w:val="Ttulo2"/>
        <w:numPr>
          <w:ilvl w:val="1"/>
          <w:numId w:val="9"/>
        </w:numPr>
        <w:spacing w:before="0" w:line="360" w:lineRule="auto"/>
        <w:jc w:val="both"/>
        <w:rPr>
          <w:rFonts w:ascii="Arial" w:eastAsia="Arial" w:hAnsi="Arial" w:cs="Arial"/>
          <w:b/>
          <w:bCs/>
          <w:color w:val="auto"/>
          <w:sz w:val="22"/>
          <w:szCs w:val="22"/>
        </w:rPr>
      </w:pPr>
      <w:bookmarkStart w:id="28" w:name="_Toc229397838"/>
      <w:r w:rsidRPr="006068A2">
        <w:rPr>
          <w:rFonts w:ascii="Arial" w:eastAsia="Arial" w:hAnsi="Arial" w:cs="Arial"/>
          <w:b/>
          <w:bCs/>
          <w:color w:val="auto"/>
          <w:sz w:val="22"/>
          <w:szCs w:val="22"/>
        </w:rPr>
        <w:t>Principales barreras de acceso identificadas</w:t>
      </w:r>
      <w:bookmarkEnd w:id="28"/>
    </w:p>
    <w:p w14:paraId="71374A1D" w14:textId="77777777" w:rsidR="000A0E03" w:rsidRPr="006068A2" w:rsidRDefault="000A0E03" w:rsidP="006068A2">
      <w:pPr>
        <w:spacing w:line="360" w:lineRule="auto"/>
        <w:jc w:val="both"/>
        <w:rPr>
          <w:rFonts w:ascii="Arial" w:eastAsia="Arial" w:hAnsi="Arial" w:cs="Arial"/>
          <w:sz w:val="22"/>
          <w:szCs w:val="22"/>
        </w:rPr>
      </w:pPr>
    </w:p>
    <w:p w14:paraId="79573FF2" w14:textId="5E8A3546" w:rsidR="00291443" w:rsidRPr="00291443" w:rsidRDefault="00291443" w:rsidP="00291443">
      <w:pPr>
        <w:spacing w:line="360" w:lineRule="auto"/>
        <w:jc w:val="both"/>
        <w:rPr>
          <w:rFonts w:ascii="Arial" w:hAnsi="Arial" w:cs="Arial"/>
          <w:color w:val="000000" w:themeColor="text1"/>
          <w:sz w:val="22"/>
          <w:szCs w:val="22"/>
        </w:rPr>
      </w:pPr>
      <w:r w:rsidRPr="00291443">
        <w:rPr>
          <w:rFonts w:ascii="Arial" w:hAnsi="Arial" w:cs="Arial"/>
          <w:color w:val="000000" w:themeColor="text1"/>
          <w:sz w:val="22"/>
          <w:szCs w:val="22"/>
        </w:rPr>
        <w:t>Con el propósito de identificar y priorizar las principales causas de inconformidad manifestadas por los usuarios</w:t>
      </w:r>
      <w:r w:rsidR="008D5825">
        <w:rPr>
          <w:rFonts w:ascii="Arial" w:hAnsi="Arial" w:cs="Arial"/>
          <w:color w:val="000000" w:themeColor="text1"/>
          <w:sz w:val="22"/>
          <w:szCs w:val="22"/>
        </w:rPr>
        <w:t xml:space="preserve">; </w:t>
      </w:r>
      <w:r w:rsidRPr="00291443">
        <w:rPr>
          <w:rFonts w:ascii="Arial" w:hAnsi="Arial" w:cs="Arial"/>
          <w:color w:val="000000" w:themeColor="text1"/>
          <w:sz w:val="22"/>
          <w:szCs w:val="22"/>
        </w:rPr>
        <w:t>a continuación</w:t>
      </w:r>
      <w:r w:rsidR="008D5825">
        <w:rPr>
          <w:rFonts w:ascii="Arial" w:hAnsi="Arial" w:cs="Arial"/>
          <w:color w:val="000000" w:themeColor="text1"/>
          <w:sz w:val="22"/>
          <w:szCs w:val="22"/>
        </w:rPr>
        <w:t>,</w:t>
      </w:r>
      <w:r w:rsidRPr="00291443">
        <w:rPr>
          <w:rFonts w:ascii="Arial" w:hAnsi="Arial" w:cs="Arial"/>
          <w:color w:val="000000" w:themeColor="text1"/>
          <w:sz w:val="22"/>
          <w:szCs w:val="22"/>
        </w:rPr>
        <w:t xml:space="preserve"> se presentan los principales motivos de las Peticiones, Quejas, Reclamos, Sugerencias y Denuncias (PQRSD) registradas durante la vigencia evaluada. La información se organiza según el número total de manifestaciones y su respectivo porcentaje de participación, lo que permite dimensionar la frecuencia relativa de cada motivo y facilitar la comprensión del impacto que estas situaciones generan sobre el acceso, la oportunidad y la continuidad en la prestación de los servicios de salud.</w:t>
      </w:r>
    </w:p>
    <w:p w14:paraId="233D1702" w14:textId="77777777" w:rsidR="00291443" w:rsidRPr="00291443" w:rsidRDefault="00291443" w:rsidP="00291443">
      <w:pPr>
        <w:spacing w:line="360" w:lineRule="auto"/>
        <w:jc w:val="both"/>
        <w:rPr>
          <w:rFonts w:ascii="Arial" w:hAnsi="Arial" w:cs="Arial"/>
          <w:color w:val="000000" w:themeColor="text1"/>
          <w:sz w:val="22"/>
          <w:szCs w:val="22"/>
        </w:rPr>
      </w:pPr>
    </w:p>
    <w:p w14:paraId="592AE261" w14:textId="79A8775F" w:rsidR="008F5854" w:rsidRDefault="00291443" w:rsidP="00291443">
      <w:pPr>
        <w:spacing w:line="360" w:lineRule="auto"/>
        <w:jc w:val="both"/>
        <w:rPr>
          <w:rFonts w:ascii="Arial" w:hAnsi="Arial" w:cs="Arial"/>
          <w:color w:val="000000" w:themeColor="text1"/>
          <w:sz w:val="22"/>
          <w:szCs w:val="22"/>
        </w:rPr>
      </w:pPr>
      <w:r w:rsidRPr="00291443">
        <w:rPr>
          <w:rFonts w:ascii="Arial" w:hAnsi="Arial" w:cs="Arial"/>
          <w:color w:val="000000" w:themeColor="text1"/>
          <w:sz w:val="22"/>
          <w:szCs w:val="22"/>
        </w:rPr>
        <w:t>Este análisis permite identificar las barreras más recurrentes que afectan la experiencia de los usuarios y orientar la implementación de acciones de mejora encaminadas al fortalecimiento de la prestación de los servicios de salud y a la garantía efectiva del derecho fundamental a la salud como servicio público esencial.</w:t>
      </w:r>
    </w:p>
    <w:p w14:paraId="2D9113BE" w14:textId="77777777" w:rsidR="00291443" w:rsidRPr="006068A2" w:rsidRDefault="00291443" w:rsidP="00291443">
      <w:pPr>
        <w:spacing w:line="360" w:lineRule="auto"/>
        <w:jc w:val="both"/>
        <w:rPr>
          <w:rFonts w:ascii="Arial" w:hAnsi="Arial" w:cs="Arial"/>
          <w:color w:val="000000" w:themeColor="text1"/>
          <w:sz w:val="22"/>
          <w:szCs w:val="22"/>
        </w:rPr>
      </w:pPr>
    </w:p>
    <w:p w14:paraId="2D97291A" w14:textId="613C854A" w:rsidR="00A73AD2" w:rsidRDefault="006203BE" w:rsidP="00C23371">
      <w:pPr>
        <w:pStyle w:val="Descripcin"/>
        <w:spacing w:after="0" w:line="360" w:lineRule="auto"/>
        <w:jc w:val="both"/>
        <w:rPr>
          <w:rFonts w:ascii="Arial" w:eastAsia="Arial" w:hAnsi="Arial" w:cs="Arial"/>
          <w:i w:val="0"/>
          <w:iCs w:val="0"/>
          <w:color w:val="000000" w:themeColor="text1"/>
          <w:sz w:val="22"/>
          <w:szCs w:val="22"/>
          <w:lang w:val="es-ES"/>
        </w:rPr>
      </w:pPr>
      <w:bookmarkStart w:id="29" w:name="_Toc229395865"/>
      <w:r w:rsidRPr="006068A2">
        <w:rPr>
          <w:rFonts w:ascii="Arial" w:eastAsia="Arial" w:hAnsi="Arial" w:cs="Arial"/>
          <w:i w:val="0"/>
          <w:iCs w:val="0"/>
          <w:color w:val="000000" w:themeColor="text1"/>
          <w:sz w:val="22"/>
          <w:szCs w:val="22"/>
          <w:lang w:val="es-ES"/>
        </w:rPr>
        <w:t xml:space="preserve">Tabla </w:t>
      </w:r>
      <w:r w:rsidRPr="006068A2">
        <w:rPr>
          <w:rFonts w:ascii="Arial" w:eastAsia="Arial" w:hAnsi="Arial" w:cs="Arial"/>
          <w:i w:val="0"/>
          <w:iCs w:val="0"/>
          <w:color w:val="000000" w:themeColor="text1"/>
          <w:sz w:val="22"/>
          <w:szCs w:val="22"/>
          <w:lang w:val="es-ES"/>
        </w:rPr>
        <w:fldChar w:fldCharType="begin"/>
      </w:r>
      <w:r w:rsidRPr="006068A2">
        <w:rPr>
          <w:rFonts w:ascii="Arial" w:eastAsia="Arial" w:hAnsi="Arial" w:cs="Arial"/>
          <w:i w:val="0"/>
          <w:iCs w:val="0"/>
          <w:color w:val="000000" w:themeColor="text1"/>
          <w:sz w:val="22"/>
          <w:szCs w:val="22"/>
          <w:lang w:val="es-ES"/>
        </w:rPr>
        <w:instrText xml:space="preserve"> SEQ Tabla \* ARABIC </w:instrText>
      </w:r>
      <w:r w:rsidRPr="006068A2">
        <w:rPr>
          <w:rFonts w:ascii="Arial" w:eastAsia="Arial" w:hAnsi="Arial" w:cs="Arial"/>
          <w:i w:val="0"/>
          <w:iCs w:val="0"/>
          <w:color w:val="000000" w:themeColor="text1"/>
          <w:sz w:val="22"/>
          <w:szCs w:val="22"/>
          <w:lang w:val="es-ES"/>
        </w:rPr>
        <w:fldChar w:fldCharType="separate"/>
      </w:r>
      <w:r w:rsidR="00CB6C8D">
        <w:rPr>
          <w:rFonts w:ascii="Arial" w:eastAsia="Arial" w:hAnsi="Arial" w:cs="Arial"/>
          <w:i w:val="0"/>
          <w:iCs w:val="0"/>
          <w:noProof/>
          <w:color w:val="000000" w:themeColor="text1"/>
          <w:sz w:val="22"/>
          <w:szCs w:val="22"/>
          <w:lang w:val="es-ES"/>
        </w:rPr>
        <w:t>8</w:t>
      </w:r>
      <w:r w:rsidRPr="006068A2">
        <w:rPr>
          <w:rFonts w:ascii="Arial" w:eastAsia="Arial" w:hAnsi="Arial" w:cs="Arial"/>
          <w:i w:val="0"/>
          <w:iCs w:val="0"/>
          <w:color w:val="000000" w:themeColor="text1"/>
          <w:sz w:val="22"/>
          <w:szCs w:val="22"/>
          <w:lang w:val="es-ES"/>
        </w:rPr>
        <w:fldChar w:fldCharType="end"/>
      </w:r>
      <w:r w:rsidRPr="006068A2">
        <w:rPr>
          <w:rFonts w:ascii="Arial" w:eastAsia="Arial" w:hAnsi="Arial" w:cs="Arial"/>
          <w:i w:val="0"/>
          <w:iCs w:val="0"/>
          <w:color w:val="000000" w:themeColor="text1"/>
          <w:sz w:val="22"/>
          <w:szCs w:val="22"/>
          <w:lang w:val="es-ES"/>
        </w:rPr>
        <w:t>. Principales Motivos de Manifestaciones</w:t>
      </w:r>
      <w:bookmarkEnd w:id="29"/>
    </w:p>
    <w:p w14:paraId="0C08860B" w14:textId="77777777" w:rsidR="00EB6BB2" w:rsidRPr="00EB6BB2" w:rsidRDefault="00EB6BB2" w:rsidP="00EB6BB2">
      <w:pPr>
        <w:rPr>
          <w:rFonts w:eastAsia="Arial"/>
          <w:lang w:val="es-ES"/>
        </w:rPr>
      </w:pPr>
    </w:p>
    <w:tbl>
      <w:tblPr>
        <w:tblStyle w:val="Tablaconcuadrcula"/>
        <w:tblW w:w="0" w:type="auto"/>
        <w:jc w:val="center"/>
        <w:tblLook w:val="04A0" w:firstRow="1" w:lastRow="0" w:firstColumn="1" w:lastColumn="0" w:noHBand="0" w:noVBand="1"/>
      </w:tblPr>
      <w:tblGrid>
        <w:gridCol w:w="5135"/>
        <w:gridCol w:w="1641"/>
        <w:gridCol w:w="2052"/>
      </w:tblGrid>
      <w:tr w:rsidR="002F0ACF" w:rsidRPr="002F0ACF" w14:paraId="62B4C23F" w14:textId="77777777" w:rsidTr="00300C3E">
        <w:trPr>
          <w:tblHeader/>
          <w:jc w:val="center"/>
        </w:trPr>
        <w:tc>
          <w:tcPr>
            <w:tcW w:w="0" w:type="auto"/>
            <w:vAlign w:val="center"/>
            <w:hideMark/>
          </w:tcPr>
          <w:p w14:paraId="3EAC3F6F" w14:textId="645B5138" w:rsidR="002F0ACF" w:rsidRPr="002F0ACF" w:rsidRDefault="6B7E8D20" w:rsidP="002F0ACF">
            <w:pPr>
              <w:spacing w:line="360" w:lineRule="auto"/>
              <w:jc w:val="center"/>
              <w:rPr>
                <w:rFonts w:ascii="Arial" w:eastAsia="Arial" w:hAnsi="Arial" w:cs="Arial"/>
                <w:b/>
                <w:bCs/>
                <w:sz w:val="22"/>
                <w:szCs w:val="22"/>
              </w:rPr>
            </w:pPr>
            <w:r w:rsidRPr="006068A2">
              <w:rPr>
                <w:rFonts w:ascii="Arial" w:eastAsia="Arial" w:hAnsi="Arial" w:cs="Arial"/>
                <w:b/>
                <w:bCs/>
                <w:sz w:val="22"/>
                <w:szCs w:val="22"/>
                <w:lang w:val="es-ES"/>
              </w:rPr>
              <w:t xml:space="preserve"> </w:t>
            </w:r>
            <w:r w:rsidR="002F0ACF" w:rsidRPr="002F0ACF">
              <w:rPr>
                <w:rFonts w:ascii="Arial" w:eastAsia="Arial" w:hAnsi="Arial" w:cs="Arial"/>
                <w:b/>
                <w:bCs/>
                <w:sz w:val="22"/>
                <w:szCs w:val="22"/>
              </w:rPr>
              <w:t>Motivo</w:t>
            </w:r>
          </w:p>
        </w:tc>
        <w:tc>
          <w:tcPr>
            <w:tcW w:w="0" w:type="auto"/>
            <w:vAlign w:val="center"/>
            <w:hideMark/>
          </w:tcPr>
          <w:p w14:paraId="710A4F20" w14:textId="3D26F593" w:rsidR="002F0ACF" w:rsidRPr="002F0ACF" w:rsidRDefault="002F0ACF" w:rsidP="002F0ACF">
            <w:pPr>
              <w:spacing w:line="360" w:lineRule="auto"/>
              <w:jc w:val="center"/>
              <w:rPr>
                <w:rFonts w:ascii="Arial" w:eastAsia="Arial" w:hAnsi="Arial" w:cs="Arial"/>
                <w:b/>
                <w:bCs/>
                <w:sz w:val="22"/>
                <w:szCs w:val="22"/>
              </w:rPr>
            </w:pPr>
            <w:r w:rsidRPr="002F0ACF">
              <w:rPr>
                <w:rFonts w:ascii="Arial" w:eastAsia="Arial" w:hAnsi="Arial" w:cs="Arial"/>
                <w:b/>
                <w:bCs/>
                <w:sz w:val="22"/>
                <w:szCs w:val="22"/>
              </w:rPr>
              <w:t>Total, de PQRSD</w:t>
            </w:r>
          </w:p>
        </w:tc>
        <w:tc>
          <w:tcPr>
            <w:tcW w:w="0" w:type="auto"/>
            <w:vAlign w:val="center"/>
            <w:hideMark/>
          </w:tcPr>
          <w:p w14:paraId="338A7B9B" w14:textId="701CD49E" w:rsidR="002F0ACF" w:rsidRPr="002F0ACF" w:rsidRDefault="002F0ACF" w:rsidP="002F0ACF">
            <w:pPr>
              <w:spacing w:line="360" w:lineRule="auto"/>
              <w:jc w:val="center"/>
              <w:rPr>
                <w:rFonts w:ascii="Arial" w:eastAsia="Arial" w:hAnsi="Arial" w:cs="Arial"/>
                <w:b/>
                <w:bCs/>
                <w:sz w:val="22"/>
                <w:szCs w:val="22"/>
              </w:rPr>
            </w:pPr>
            <w:r w:rsidRPr="002F0ACF">
              <w:rPr>
                <w:rFonts w:ascii="Arial" w:eastAsia="Arial" w:hAnsi="Arial" w:cs="Arial"/>
                <w:b/>
                <w:bCs/>
                <w:sz w:val="22"/>
                <w:szCs w:val="22"/>
              </w:rPr>
              <w:t>% de participación</w:t>
            </w:r>
            <w:r w:rsidR="00F9675F">
              <w:rPr>
                <w:rStyle w:val="Refdenotaalpie"/>
                <w:rFonts w:ascii="Arial" w:eastAsia="Arial" w:hAnsi="Arial" w:cs="Arial"/>
                <w:b/>
                <w:bCs/>
                <w:sz w:val="22"/>
                <w:szCs w:val="22"/>
              </w:rPr>
              <w:footnoteReference w:id="6"/>
            </w:r>
          </w:p>
        </w:tc>
      </w:tr>
      <w:tr w:rsidR="002F0ACF" w:rsidRPr="002F0ACF" w14:paraId="28A1D24C" w14:textId="77777777" w:rsidTr="002F0ACF">
        <w:trPr>
          <w:jc w:val="center"/>
        </w:trPr>
        <w:tc>
          <w:tcPr>
            <w:tcW w:w="0" w:type="auto"/>
            <w:hideMark/>
          </w:tcPr>
          <w:p w14:paraId="4B8CDC07"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t>Falta de oportunidad en consulta de medicina especializada</w:t>
            </w:r>
          </w:p>
        </w:tc>
        <w:tc>
          <w:tcPr>
            <w:tcW w:w="0" w:type="auto"/>
            <w:hideMark/>
          </w:tcPr>
          <w:p w14:paraId="75E1DD05"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925</w:t>
            </w:r>
          </w:p>
        </w:tc>
        <w:tc>
          <w:tcPr>
            <w:tcW w:w="0" w:type="auto"/>
            <w:hideMark/>
          </w:tcPr>
          <w:p w14:paraId="74E8F8E8"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27,46%</w:t>
            </w:r>
          </w:p>
        </w:tc>
      </w:tr>
      <w:tr w:rsidR="002F0ACF" w:rsidRPr="002F0ACF" w14:paraId="578919F3" w14:textId="77777777" w:rsidTr="002F0ACF">
        <w:trPr>
          <w:jc w:val="center"/>
        </w:trPr>
        <w:tc>
          <w:tcPr>
            <w:tcW w:w="0" w:type="auto"/>
            <w:hideMark/>
          </w:tcPr>
          <w:p w14:paraId="630D6461"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t>Demora en la entrega o entrega incompleta de medicamentos</w:t>
            </w:r>
          </w:p>
        </w:tc>
        <w:tc>
          <w:tcPr>
            <w:tcW w:w="0" w:type="auto"/>
            <w:hideMark/>
          </w:tcPr>
          <w:p w14:paraId="13D0D4FA"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534</w:t>
            </w:r>
          </w:p>
        </w:tc>
        <w:tc>
          <w:tcPr>
            <w:tcW w:w="0" w:type="auto"/>
            <w:hideMark/>
          </w:tcPr>
          <w:p w14:paraId="4D873856"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15,85%</w:t>
            </w:r>
          </w:p>
        </w:tc>
      </w:tr>
      <w:tr w:rsidR="002F0ACF" w:rsidRPr="002F0ACF" w14:paraId="12B0A6D5" w14:textId="77777777" w:rsidTr="002F0ACF">
        <w:trPr>
          <w:jc w:val="center"/>
        </w:trPr>
        <w:tc>
          <w:tcPr>
            <w:tcW w:w="0" w:type="auto"/>
            <w:hideMark/>
          </w:tcPr>
          <w:p w14:paraId="41B56FE5"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t>Dificultades en el aseguramiento y prestaciones económicas</w:t>
            </w:r>
          </w:p>
        </w:tc>
        <w:tc>
          <w:tcPr>
            <w:tcW w:w="0" w:type="auto"/>
            <w:hideMark/>
          </w:tcPr>
          <w:p w14:paraId="68927E41"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425</w:t>
            </w:r>
          </w:p>
        </w:tc>
        <w:tc>
          <w:tcPr>
            <w:tcW w:w="0" w:type="auto"/>
            <w:hideMark/>
          </w:tcPr>
          <w:p w14:paraId="57026A30"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12,62%</w:t>
            </w:r>
          </w:p>
        </w:tc>
      </w:tr>
      <w:tr w:rsidR="002F0ACF" w:rsidRPr="002F0ACF" w14:paraId="33EE177E" w14:textId="77777777" w:rsidTr="002F0ACF">
        <w:trPr>
          <w:jc w:val="center"/>
        </w:trPr>
        <w:tc>
          <w:tcPr>
            <w:tcW w:w="0" w:type="auto"/>
            <w:hideMark/>
          </w:tcPr>
          <w:p w14:paraId="1DFCE25E"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lastRenderedPageBreak/>
              <w:t>Demora en la asignación de citas de medicina general</w:t>
            </w:r>
          </w:p>
        </w:tc>
        <w:tc>
          <w:tcPr>
            <w:tcW w:w="0" w:type="auto"/>
            <w:hideMark/>
          </w:tcPr>
          <w:p w14:paraId="0984F157"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285</w:t>
            </w:r>
          </w:p>
        </w:tc>
        <w:tc>
          <w:tcPr>
            <w:tcW w:w="0" w:type="auto"/>
            <w:hideMark/>
          </w:tcPr>
          <w:p w14:paraId="4C2B4B21"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8,46%</w:t>
            </w:r>
          </w:p>
        </w:tc>
      </w:tr>
      <w:tr w:rsidR="002F0ACF" w:rsidRPr="002F0ACF" w14:paraId="50B49F23" w14:textId="77777777" w:rsidTr="002F0ACF">
        <w:trPr>
          <w:jc w:val="center"/>
        </w:trPr>
        <w:tc>
          <w:tcPr>
            <w:tcW w:w="0" w:type="auto"/>
            <w:hideMark/>
          </w:tcPr>
          <w:p w14:paraId="500802D5"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sz w:val="22"/>
                <w:szCs w:val="22"/>
              </w:rPr>
              <w:t>Demoras y/o falta de oportunidad en procedimientos no quirúrgicos</w:t>
            </w:r>
          </w:p>
        </w:tc>
        <w:tc>
          <w:tcPr>
            <w:tcW w:w="0" w:type="auto"/>
            <w:hideMark/>
          </w:tcPr>
          <w:p w14:paraId="5E6178D9"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186</w:t>
            </w:r>
          </w:p>
        </w:tc>
        <w:tc>
          <w:tcPr>
            <w:tcW w:w="0" w:type="auto"/>
            <w:hideMark/>
          </w:tcPr>
          <w:p w14:paraId="5C660402" w14:textId="77777777" w:rsidR="002F0ACF" w:rsidRPr="002F0ACF" w:rsidRDefault="002F0ACF" w:rsidP="00F9675F">
            <w:pPr>
              <w:spacing w:line="360" w:lineRule="auto"/>
              <w:jc w:val="center"/>
              <w:rPr>
                <w:rFonts w:ascii="Arial" w:eastAsia="Arial" w:hAnsi="Arial" w:cs="Arial"/>
                <w:sz w:val="22"/>
                <w:szCs w:val="22"/>
              </w:rPr>
            </w:pPr>
            <w:r w:rsidRPr="002F0ACF">
              <w:rPr>
                <w:rFonts w:ascii="Arial" w:eastAsia="Arial" w:hAnsi="Arial" w:cs="Arial"/>
                <w:sz w:val="22"/>
                <w:szCs w:val="22"/>
              </w:rPr>
              <w:t>5,52%</w:t>
            </w:r>
          </w:p>
        </w:tc>
      </w:tr>
      <w:tr w:rsidR="002F0ACF" w:rsidRPr="002F0ACF" w14:paraId="74EA27A8" w14:textId="77777777" w:rsidTr="002F0ACF">
        <w:trPr>
          <w:jc w:val="center"/>
        </w:trPr>
        <w:tc>
          <w:tcPr>
            <w:tcW w:w="0" w:type="auto"/>
            <w:hideMark/>
          </w:tcPr>
          <w:p w14:paraId="3C49D676"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b/>
                <w:bCs/>
                <w:sz w:val="22"/>
                <w:szCs w:val="22"/>
              </w:rPr>
              <w:t>Total</w:t>
            </w:r>
          </w:p>
        </w:tc>
        <w:tc>
          <w:tcPr>
            <w:tcW w:w="0" w:type="auto"/>
            <w:hideMark/>
          </w:tcPr>
          <w:p w14:paraId="77B5310D"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b/>
                <w:bCs/>
                <w:sz w:val="22"/>
                <w:szCs w:val="22"/>
              </w:rPr>
              <w:t>2.355</w:t>
            </w:r>
          </w:p>
        </w:tc>
        <w:tc>
          <w:tcPr>
            <w:tcW w:w="0" w:type="auto"/>
            <w:hideMark/>
          </w:tcPr>
          <w:p w14:paraId="7D27A4CC" w14:textId="77777777" w:rsidR="002F0ACF" w:rsidRPr="002F0ACF" w:rsidRDefault="002F0ACF" w:rsidP="002F0ACF">
            <w:pPr>
              <w:spacing w:line="360" w:lineRule="auto"/>
              <w:rPr>
                <w:rFonts w:ascii="Arial" w:eastAsia="Arial" w:hAnsi="Arial" w:cs="Arial"/>
                <w:sz w:val="22"/>
                <w:szCs w:val="22"/>
              </w:rPr>
            </w:pPr>
            <w:r w:rsidRPr="002F0ACF">
              <w:rPr>
                <w:rFonts w:ascii="Arial" w:eastAsia="Arial" w:hAnsi="Arial" w:cs="Arial"/>
                <w:b/>
                <w:bCs/>
                <w:sz w:val="22"/>
                <w:szCs w:val="22"/>
              </w:rPr>
              <w:t>69,92%</w:t>
            </w:r>
          </w:p>
        </w:tc>
      </w:tr>
    </w:tbl>
    <w:p w14:paraId="3CF28CA1" w14:textId="50B19E0A" w:rsidR="6B7E8D20" w:rsidRPr="00815472" w:rsidRDefault="6B7E8D20" w:rsidP="00815472">
      <w:pPr>
        <w:spacing w:line="360" w:lineRule="auto"/>
        <w:rPr>
          <w:rFonts w:ascii="Arial" w:eastAsia="Arial" w:hAnsi="Arial" w:cs="Arial"/>
          <w:sz w:val="16"/>
          <w:szCs w:val="16"/>
          <w:lang w:val="es-ES"/>
        </w:rPr>
      </w:pPr>
      <w:r w:rsidRPr="00815472">
        <w:rPr>
          <w:rFonts w:ascii="Arial" w:eastAsia="Arial" w:hAnsi="Arial" w:cs="Arial"/>
          <w:sz w:val="16"/>
          <w:szCs w:val="16"/>
          <w:lang w:val="es-ES"/>
        </w:rPr>
        <w:t xml:space="preserve">Fuente: Base de datos </w:t>
      </w:r>
      <w:r w:rsidRPr="00815472">
        <w:rPr>
          <w:rFonts w:ascii="Arial" w:eastAsia="Arial" w:hAnsi="Arial" w:cs="Arial"/>
          <w:sz w:val="16"/>
          <w:szCs w:val="16"/>
          <w:lang w:val="es-MX"/>
        </w:rPr>
        <w:t xml:space="preserve">aplicativo </w:t>
      </w:r>
      <w:r w:rsidRPr="00815472">
        <w:rPr>
          <w:rFonts w:ascii="Arial" w:eastAsia="Arial" w:hAnsi="Arial" w:cs="Arial"/>
          <w:sz w:val="16"/>
          <w:szCs w:val="16"/>
          <w:lang w:val="es-ES"/>
        </w:rPr>
        <w:t>Endomarketing 2025</w:t>
      </w:r>
      <w:r w:rsidRPr="00815472">
        <w:rPr>
          <w:rFonts w:ascii="Arial" w:eastAsia="Arial" w:hAnsi="Arial" w:cs="Arial"/>
          <w:sz w:val="16"/>
          <w:szCs w:val="16"/>
          <w:lang w:val="es-MX"/>
        </w:rPr>
        <w:t>-</w:t>
      </w:r>
      <w:r w:rsidRPr="00815472">
        <w:rPr>
          <w:rFonts w:ascii="Arial" w:eastAsia="Arial" w:hAnsi="Arial" w:cs="Arial"/>
          <w:sz w:val="16"/>
          <w:szCs w:val="16"/>
          <w:lang w:val="es-ES"/>
        </w:rPr>
        <w:t xml:space="preserve"> Información reportada por la Entidad COOSALUD EPS.</w:t>
      </w:r>
    </w:p>
    <w:p w14:paraId="30A1B005" w14:textId="77777777" w:rsidR="00300C3E" w:rsidRDefault="00300C3E" w:rsidP="00DB2B11">
      <w:pPr>
        <w:spacing w:line="360" w:lineRule="auto"/>
        <w:jc w:val="both"/>
        <w:rPr>
          <w:rFonts w:ascii="Arial" w:eastAsia="Arial" w:hAnsi="Arial" w:cs="Arial"/>
          <w:sz w:val="22"/>
          <w:szCs w:val="22"/>
        </w:rPr>
      </w:pPr>
    </w:p>
    <w:p w14:paraId="04D8F312" w14:textId="1D0A5669"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t>El análisis de los principales motivos de PQRSD evidencia que las inconformidades de los usuarios se concentran principalmente en barreras de acceso y oportunidad en la prestación de los servicios de salud. En efecto, los cinco motivos más frecuentes agrupan el 69,92% del total de manifestaciones, lo que muestra que la mayor parte de las reclamaciones se relaciona con fallas en la oportunidad de la atención, dificultades en la entrega de medicamentos y problemas asociados a trámites de aseguramiento y prestaciones económicas.</w:t>
      </w:r>
    </w:p>
    <w:p w14:paraId="2BE94A0E" w14:textId="77777777" w:rsidR="00DB2B11" w:rsidRPr="00DB2B11" w:rsidRDefault="00DB2B11" w:rsidP="00DB2B11">
      <w:pPr>
        <w:spacing w:line="360" w:lineRule="auto"/>
        <w:jc w:val="both"/>
        <w:rPr>
          <w:rFonts w:ascii="Arial" w:eastAsia="Arial" w:hAnsi="Arial" w:cs="Arial"/>
          <w:sz w:val="22"/>
          <w:szCs w:val="22"/>
        </w:rPr>
      </w:pPr>
    </w:p>
    <w:p w14:paraId="11F1A6F3" w14:textId="77777777"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t>En particular, la falta de oportunidad en la consulta de medicina especializada constituye el principal motivo de manifestación, con 925 casos, equivalentes al 27,46% del total, seguida por la demora en la entrega o entrega incompleta de medicamentos, con 534 casos (15,85%), y por las dificultades en el aseguramiento y prestaciones económicas, con 425 casos (12,62%). Esta concentración evidencia que las principales fuentes de insatisfacción de los usuarios de COOSALUD EPS durante 2025 estuvieron asociadas a barreras estructurales en el acceso efectivo a los servicios de salud, lo que demanda intervenciones focalizadas en la gestión de red, la operación farmacéutica y la eficiencia de los procesos administrativos.</w:t>
      </w:r>
    </w:p>
    <w:p w14:paraId="3A05AE4F" w14:textId="77777777" w:rsidR="00DB2B11" w:rsidRPr="00DB2B11" w:rsidRDefault="00DB2B11" w:rsidP="00DB2B11">
      <w:pPr>
        <w:spacing w:line="360" w:lineRule="auto"/>
        <w:jc w:val="both"/>
        <w:rPr>
          <w:rFonts w:ascii="Arial" w:eastAsia="Arial" w:hAnsi="Arial" w:cs="Arial"/>
          <w:sz w:val="22"/>
          <w:szCs w:val="22"/>
        </w:rPr>
      </w:pPr>
    </w:p>
    <w:p w14:paraId="7E9E6E99" w14:textId="77777777"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t xml:space="preserve">Asimismo, la demora en la asignación de citas de medicina general y la inoportunidad en la realización de procedimientos no quirúrgicos complementan el grupo de motivos más frecuentes, lo que refuerza la hipótesis de una afectación transversal en distintos puntos de la ruta de atención. En conjunto, estos hallazgos permiten inferir que las dificultades no se limitan a un componente aislado de la operación, sino que comprometen diferentes </w:t>
      </w:r>
      <w:r w:rsidRPr="00DB2B11">
        <w:rPr>
          <w:rFonts w:ascii="Arial" w:eastAsia="Arial" w:hAnsi="Arial" w:cs="Arial"/>
          <w:sz w:val="22"/>
          <w:szCs w:val="22"/>
        </w:rPr>
        <w:lastRenderedPageBreak/>
        <w:t>momentos del proceso asistencial, desde la consulta inicial hasta la atención especializada, la gestión de procedimientos y la dispensación de tecnologías en salud.</w:t>
      </w:r>
    </w:p>
    <w:p w14:paraId="2898A30A" w14:textId="77777777" w:rsidR="00DB2B11" w:rsidRPr="00DB2B11" w:rsidRDefault="00DB2B11" w:rsidP="00DB2B11">
      <w:pPr>
        <w:spacing w:line="360" w:lineRule="auto"/>
        <w:jc w:val="both"/>
        <w:rPr>
          <w:rFonts w:ascii="Arial" w:eastAsia="Arial" w:hAnsi="Arial" w:cs="Arial"/>
          <w:sz w:val="22"/>
          <w:szCs w:val="22"/>
        </w:rPr>
      </w:pPr>
    </w:p>
    <w:p w14:paraId="1F05D7E0" w14:textId="77777777"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t>De acuerdo con el análisis desagregado de las manifestaciones por especialidad, las mayores inconformidades asociadas a inoportunidad de agendas se concentraron en Oftalmología, Ortopedia y Traumatología, Pediatría, Oncología y Neurología, lo que sugiere limitaciones en la capacidad instalada y en la disponibilidad de la red prestadora para servicios de alta demanda y alto impacto clínico. Esta situación puede generar demoras en el diagnóstico, seguimiento y tratamiento oportuno de los usuarios, especialmente en patologías que requieren control especializado continuo, como las de tipo neurológico y oncológico. De igual forma, puede afectar la resolutividad del primer nivel de atención al dificultar la remisión efectiva hacia servicios especializados.</w:t>
      </w:r>
    </w:p>
    <w:p w14:paraId="118E4E56" w14:textId="77777777" w:rsidR="00DB2B11" w:rsidRPr="00DB2B11" w:rsidRDefault="00DB2B11" w:rsidP="00DB2B11">
      <w:pPr>
        <w:spacing w:line="360" w:lineRule="auto"/>
        <w:jc w:val="both"/>
        <w:rPr>
          <w:rFonts w:ascii="Arial" w:eastAsia="Arial" w:hAnsi="Arial" w:cs="Arial"/>
          <w:sz w:val="22"/>
          <w:szCs w:val="22"/>
        </w:rPr>
      </w:pPr>
    </w:p>
    <w:p w14:paraId="3E375C41" w14:textId="77777777" w:rsidR="00DB2B11" w:rsidRDefault="00DB2B11" w:rsidP="00DB2B11">
      <w:pPr>
        <w:spacing w:line="360" w:lineRule="auto"/>
        <w:jc w:val="both"/>
        <w:rPr>
          <w:rFonts w:ascii="Arial" w:eastAsia="Arial" w:hAnsi="Arial" w:cs="Arial"/>
          <w:sz w:val="22"/>
          <w:szCs w:val="22"/>
        </w:rPr>
      </w:pPr>
      <w:r w:rsidRPr="00DB2B11">
        <w:rPr>
          <w:rFonts w:ascii="Arial" w:eastAsia="Arial" w:hAnsi="Arial" w:cs="Arial"/>
          <w:sz w:val="22"/>
          <w:szCs w:val="22"/>
        </w:rPr>
        <w:t>En consecuencia, la persistencia de estas barreras puede traducirse en deterioro de las condiciones de salud, fragmentación en la atención, incremento de la insatisfacción del usuario y mayor recurrencia de manifestaciones por las mismas causas. A su vez, este escenario puede favorecer un aumento en el uso de mecanismos alternos de exigibilidad, como las acciones de tutela, y generar mayor presión sobre la red de prestación y sobre la gestión institucional de la EPS.</w:t>
      </w:r>
    </w:p>
    <w:p w14:paraId="595C361E" w14:textId="77777777" w:rsidR="00DB2B11" w:rsidRDefault="00DB2B11" w:rsidP="00DB2B11">
      <w:pPr>
        <w:spacing w:line="360" w:lineRule="auto"/>
        <w:jc w:val="both"/>
        <w:rPr>
          <w:rFonts w:ascii="Arial" w:eastAsia="Arial" w:hAnsi="Arial" w:cs="Arial"/>
          <w:sz w:val="22"/>
          <w:szCs w:val="22"/>
        </w:rPr>
      </w:pPr>
    </w:p>
    <w:p w14:paraId="6CDB0613" w14:textId="72283CC4" w:rsidR="00DB2B11" w:rsidRPr="00DB2B11" w:rsidRDefault="00DB2B11" w:rsidP="00DB2B11">
      <w:pPr>
        <w:spacing w:line="360" w:lineRule="auto"/>
        <w:jc w:val="both"/>
        <w:rPr>
          <w:rFonts w:ascii="Arial" w:eastAsia="Arial" w:hAnsi="Arial" w:cs="Arial"/>
          <w:sz w:val="22"/>
          <w:szCs w:val="22"/>
        </w:rPr>
      </w:pPr>
      <w:r>
        <w:rPr>
          <w:rFonts w:ascii="Arial" w:eastAsia="Arial" w:hAnsi="Arial" w:cs="Arial"/>
          <w:sz w:val="22"/>
          <w:szCs w:val="22"/>
        </w:rPr>
        <w:t>Con el anterior análisis,</w:t>
      </w:r>
      <w:r w:rsidRPr="00DB2B11">
        <w:rPr>
          <w:rFonts w:ascii="Arial" w:eastAsia="Arial" w:hAnsi="Arial" w:cs="Arial"/>
          <w:sz w:val="22"/>
          <w:szCs w:val="22"/>
        </w:rPr>
        <w:t xml:space="preserve"> la distribución de los principales motivos de PQRSD muestra que la inconformidad de los usuarios de COOSALUD EPS durante 2025 estuvo fuertemente asociada a problemas de acceso oportuno a la atención especializada, entrega de medicamentos y gestión administrativa del aseguramiento. Este patrón evidencia fallas relevantes en componentes críticos de la operación de la EPS y confirma la necesidad de fortalecer acciones correctivas orientadas a mejorar la capacidad de respuesta de la red, optimizar la operación farmacéutica y reducir las barreras que afectan la continuidad y oportunidad de la atención en salud.</w:t>
      </w:r>
    </w:p>
    <w:p w14:paraId="37911D9F" w14:textId="77777777" w:rsidR="00DB2B11" w:rsidRPr="006068A2" w:rsidRDefault="00DB2B11" w:rsidP="006068A2">
      <w:pPr>
        <w:spacing w:line="360" w:lineRule="auto"/>
        <w:jc w:val="both"/>
        <w:rPr>
          <w:rFonts w:ascii="Arial" w:eastAsia="Arial" w:hAnsi="Arial" w:cs="Arial"/>
          <w:sz w:val="22"/>
          <w:szCs w:val="22"/>
          <w:lang w:val="es-ES"/>
        </w:rPr>
      </w:pPr>
    </w:p>
    <w:p w14:paraId="30BFB7F4" w14:textId="3D0FA9EF" w:rsidR="007C46C6" w:rsidRPr="006068A2" w:rsidRDefault="00977047" w:rsidP="006068A2">
      <w:pPr>
        <w:pStyle w:val="Ttulo2"/>
        <w:numPr>
          <w:ilvl w:val="1"/>
          <w:numId w:val="9"/>
        </w:numPr>
        <w:spacing w:before="0" w:line="360" w:lineRule="auto"/>
        <w:jc w:val="both"/>
        <w:rPr>
          <w:rFonts w:ascii="Arial" w:eastAsia="Arial" w:hAnsi="Arial" w:cs="Arial"/>
          <w:b/>
          <w:bCs/>
          <w:color w:val="auto"/>
          <w:sz w:val="22"/>
          <w:szCs w:val="22"/>
        </w:rPr>
      </w:pPr>
      <w:bookmarkStart w:id="30" w:name="_Toc229397839"/>
      <w:bookmarkEnd w:id="24"/>
      <w:r w:rsidRPr="006068A2">
        <w:rPr>
          <w:rFonts w:ascii="Arial" w:eastAsia="Arial" w:hAnsi="Arial" w:cs="Arial"/>
          <w:b/>
          <w:bCs/>
          <w:color w:val="auto"/>
          <w:sz w:val="22"/>
          <w:szCs w:val="22"/>
        </w:rPr>
        <w:t>Secretaría</w:t>
      </w:r>
      <w:r w:rsidR="00A70082" w:rsidRPr="006068A2">
        <w:rPr>
          <w:rFonts w:ascii="Arial" w:eastAsia="Arial" w:hAnsi="Arial" w:cs="Arial"/>
          <w:b/>
          <w:bCs/>
          <w:color w:val="auto"/>
          <w:sz w:val="22"/>
          <w:szCs w:val="22"/>
        </w:rPr>
        <w:t xml:space="preserve"> Distrital </w:t>
      </w:r>
      <w:r w:rsidRPr="006068A2">
        <w:rPr>
          <w:rFonts w:ascii="Arial" w:eastAsia="Arial" w:hAnsi="Arial" w:cs="Arial"/>
          <w:b/>
          <w:bCs/>
          <w:color w:val="auto"/>
          <w:sz w:val="22"/>
          <w:szCs w:val="22"/>
        </w:rPr>
        <w:t>-</w:t>
      </w:r>
      <w:r w:rsidR="00A15B49" w:rsidRPr="006068A2">
        <w:rPr>
          <w:rFonts w:ascii="Arial" w:eastAsia="Arial" w:hAnsi="Arial" w:cs="Arial"/>
          <w:b/>
          <w:bCs/>
          <w:color w:val="auto"/>
          <w:sz w:val="22"/>
          <w:szCs w:val="22"/>
        </w:rPr>
        <w:t xml:space="preserve"> </w:t>
      </w:r>
      <w:r w:rsidRPr="006068A2">
        <w:rPr>
          <w:rFonts w:ascii="Arial" w:eastAsia="Arial" w:hAnsi="Arial" w:cs="Arial"/>
          <w:b/>
          <w:bCs/>
          <w:color w:val="auto"/>
          <w:sz w:val="22"/>
          <w:szCs w:val="22"/>
        </w:rPr>
        <w:t xml:space="preserve">Gestión de PQRS </w:t>
      </w:r>
      <w:r w:rsidR="00A70082" w:rsidRPr="006068A2">
        <w:rPr>
          <w:rFonts w:ascii="Arial" w:eastAsia="Arial" w:hAnsi="Arial" w:cs="Arial"/>
          <w:b/>
          <w:bCs/>
          <w:color w:val="auto"/>
          <w:sz w:val="22"/>
          <w:szCs w:val="22"/>
        </w:rPr>
        <w:t xml:space="preserve">de Salud </w:t>
      </w:r>
      <w:r w:rsidR="007C46C6" w:rsidRPr="006068A2">
        <w:rPr>
          <w:rFonts w:ascii="Arial" w:eastAsia="Arial" w:hAnsi="Arial" w:cs="Arial"/>
          <w:b/>
          <w:bCs/>
          <w:color w:val="auto"/>
          <w:sz w:val="22"/>
          <w:szCs w:val="22"/>
        </w:rPr>
        <w:t xml:space="preserve">2025 en </w:t>
      </w:r>
      <w:r w:rsidR="1FD2C11D" w:rsidRPr="006068A2">
        <w:rPr>
          <w:rFonts w:ascii="Arial" w:eastAsia="Arial" w:hAnsi="Arial" w:cs="Arial"/>
          <w:b/>
          <w:bCs/>
          <w:color w:val="auto"/>
          <w:sz w:val="22"/>
          <w:szCs w:val="22"/>
        </w:rPr>
        <w:t xml:space="preserve">COOSALUD </w:t>
      </w:r>
      <w:r w:rsidR="00556B9A">
        <w:rPr>
          <w:rFonts w:ascii="Arial" w:eastAsia="Arial" w:hAnsi="Arial" w:cs="Arial"/>
          <w:b/>
          <w:bCs/>
          <w:color w:val="auto"/>
          <w:sz w:val="22"/>
          <w:szCs w:val="22"/>
        </w:rPr>
        <w:t>EPS</w:t>
      </w:r>
      <w:bookmarkEnd w:id="30"/>
    </w:p>
    <w:p w14:paraId="5E35D678" w14:textId="77777777" w:rsidR="001C0DDE" w:rsidRDefault="001C0DDE" w:rsidP="006068A2">
      <w:pPr>
        <w:spacing w:line="360" w:lineRule="auto"/>
        <w:jc w:val="both"/>
        <w:rPr>
          <w:rFonts w:ascii="Arial" w:hAnsi="Arial" w:cs="Arial"/>
          <w:sz w:val="22"/>
          <w:szCs w:val="22"/>
        </w:rPr>
      </w:pPr>
    </w:p>
    <w:p w14:paraId="6D7EF4F9" w14:textId="0774C618" w:rsidR="001C0DDE" w:rsidRDefault="00740173" w:rsidP="006068A2">
      <w:pPr>
        <w:spacing w:line="360" w:lineRule="auto"/>
        <w:jc w:val="both"/>
        <w:rPr>
          <w:rFonts w:ascii="Arial" w:hAnsi="Arial" w:cs="Arial"/>
          <w:sz w:val="22"/>
          <w:szCs w:val="22"/>
        </w:rPr>
      </w:pPr>
      <w:r w:rsidRPr="00740173">
        <w:rPr>
          <w:rFonts w:ascii="Arial" w:hAnsi="Arial" w:cs="Arial"/>
          <w:sz w:val="22"/>
          <w:szCs w:val="22"/>
        </w:rPr>
        <w:t xml:space="preserve">Para la vigencia 2025, la Subdirección de Garantía del Aseguramiento gestionó un total de 263 PQRS correspondientes a usuarios afiliados a COOSALUD EPS en Bogotá D. C. De </w:t>
      </w:r>
      <w:r w:rsidRPr="00740173">
        <w:rPr>
          <w:rFonts w:ascii="Arial" w:hAnsi="Arial" w:cs="Arial"/>
          <w:sz w:val="22"/>
          <w:szCs w:val="22"/>
        </w:rPr>
        <w:lastRenderedPageBreak/>
        <w:t>este total, 29 manifestaciones correspondieron al régimen contributivo, equivalente al 11%, mientras que 234 se asociaron al régimen subsidiado, con una participación del 89%. Esta distribución evidencia una concentración marcada de las PQRS en la población afiliada al régimen subsidiado, lo que sugiere una mayor carga de requerimientos ciudadanos en este grupo y, por tanto, una mayor presión sobre los procesos de seguimiento, respuesta y gestión institucional orientados a garantizar el acceso efectivo a los servicios de salud.</w:t>
      </w:r>
    </w:p>
    <w:p w14:paraId="2498B3AF" w14:textId="77777777" w:rsidR="00740173" w:rsidRPr="006068A2" w:rsidRDefault="00740173" w:rsidP="006068A2">
      <w:pPr>
        <w:spacing w:line="360" w:lineRule="auto"/>
        <w:jc w:val="both"/>
        <w:rPr>
          <w:rFonts w:ascii="Arial" w:hAnsi="Arial" w:cs="Arial"/>
          <w:sz w:val="22"/>
          <w:szCs w:val="22"/>
        </w:rPr>
      </w:pPr>
    </w:p>
    <w:p w14:paraId="1B67A037" w14:textId="2AF03E77" w:rsidR="00F81D98" w:rsidRPr="006068A2" w:rsidRDefault="006203BE" w:rsidP="00A10FC2">
      <w:pPr>
        <w:pStyle w:val="Descripcin"/>
        <w:spacing w:after="0" w:line="360" w:lineRule="auto"/>
        <w:rPr>
          <w:rFonts w:ascii="Arial" w:hAnsi="Arial" w:cs="Arial"/>
          <w:i w:val="0"/>
          <w:iCs w:val="0"/>
          <w:color w:val="auto"/>
          <w:sz w:val="22"/>
          <w:szCs w:val="22"/>
        </w:rPr>
      </w:pPr>
      <w:bookmarkStart w:id="31" w:name="_Toc229395866"/>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9</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xml:space="preserve">. </w:t>
      </w:r>
      <w:r w:rsidR="00873452" w:rsidRPr="006068A2">
        <w:rPr>
          <w:rFonts w:ascii="Arial" w:hAnsi="Arial" w:cs="Arial"/>
          <w:i w:val="0"/>
          <w:iCs w:val="0"/>
          <w:color w:val="auto"/>
          <w:sz w:val="22"/>
          <w:szCs w:val="22"/>
        </w:rPr>
        <w:t>Total,</w:t>
      </w:r>
      <w:r w:rsidRPr="006068A2">
        <w:rPr>
          <w:rFonts w:ascii="Arial" w:hAnsi="Arial" w:cs="Arial"/>
          <w:i w:val="0"/>
          <w:iCs w:val="0"/>
          <w:color w:val="auto"/>
          <w:sz w:val="22"/>
          <w:szCs w:val="22"/>
        </w:rPr>
        <w:t xml:space="preserve"> de PQRS año 2025 EPS Coosalud</w:t>
      </w:r>
      <w:bookmarkEnd w:id="31"/>
    </w:p>
    <w:tbl>
      <w:tblPr>
        <w:tblStyle w:val="Tablaconcuadrcula"/>
        <w:tblW w:w="9563" w:type="dxa"/>
        <w:tblLook w:val="04A0" w:firstRow="1" w:lastRow="0" w:firstColumn="1" w:lastColumn="0" w:noHBand="0" w:noVBand="1"/>
      </w:tblPr>
      <w:tblGrid>
        <w:gridCol w:w="4769"/>
        <w:gridCol w:w="2475"/>
        <w:gridCol w:w="2319"/>
      </w:tblGrid>
      <w:tr w:rsidR="00F81D98" w:rsidRPr="006068A2" w14:paraId="2206E5ED" w14:textId="77777777" w:rsidTr="00F81D98">
        <w:trPr>
          <w:trHeight w:val="407"/>
        </w:trPr>
        <w:tc>
          <w:tcPr>
            <w:tcW w:w="4769" w:type="dxa"/>
            <w:hideMark/>
          </w:tcPr>
          <w:p w14:paraId="35C28956" w14:textId="738C3FE0" w:rsidR="00F81D98" w:rsidRPr="006068A2" w:rsidRDefault="00F81D98" w:rsidP="00D56650">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REGIMEN CONTRIBUTIVO</w:t>
            </w:r>
          </w:p>
        </w:tc>
        <w:tc>
          <w:tcPr>
            <w:tcW w:w="2475" w:type="dxa"/>
            <w:hideMark/>
          </w:tcPr>
          <w:p w14:paraId="031B78CB" w14:textId="77777777" w:rsidR="00F81D98" w:rsidRPr="006068A2" w:rsidRDefault="00F81D98" w:rsidP="00D56650">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Total</w:t>
            </w:r>
          </w:p>
        </w:tc>
        <w:tc>
          <w:tcPr>
            <w:tcW w:w="2319" w:type="dxa"/>
            <w:hideMark/>
          </w:tcPr>
          <w:p w14:paraId="4FF5C156" w14:textId="77777777" w:rsidR="00F81D98" w:rsidRPr="006068A2" w:rsidRDefault="00F81D98" w:rsidP="00D56650">
            <w:pPr>
              <w:spacing w:line="360" w:lineRule="auto"/>
              <w:jc w:val="center"/>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 PQRS</w:t>
            </w:r>
          </w:p>
        </w:tc>
      </w:tr>
      <w:tr w:rsidR="00F81D98" w:rsidRPr="006068A2" w14:paraId="7A99A722" w14:textId="77777777" w:rsidTr="00F81D98">
        <w:trPr>
          <w:trHeight w:val="407"/>
        </w:trPr>
        <w:tc>
          <w:tcPr>
            <w:tcW w:w="4769" w:type="dxa"/>
            <w:noWrap/>
            <w:hideMark/>
          </w:tcPr>
          <w:p w14:paraId="7DAF6BDE"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COOSALUD EPS-C</w:t>
            </w:r>
          </w:p>
        </w:tc>
        <w:tc>
          <w:tcPr>
            <w:tcW w:w="2475" w:type="dxa"/>
            <w:noWrap/>
            <w:hideMark/>
          </w:tcPr>
          <w:p w14:paraId="4DCA1B62"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29</w:t>
            </w:r>
          </w:p>
        </w:tc>
        <w:tc>
          <w:tcPr>
            <w:tcW w:w="2319" w:type="dxa"/>
            <w:noWrap/>
            <w:hideMark/>
          </w:tcPr>
          <w:p w14:paraId="5D8962A1" w14:textId="5E4B1491"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11</w:t>
            </w:r>
            <w:r w:rsidR="00D56650">
              <w:rPr>
                <w:rFonts w:ascii="Arial" w:hAnsi="Arial" w:cs="Arial"/>
                <w:kern w:val="0"/>
                <w:sz w:val="22"/>
                <w:szCs w:val="22"/>
                <w:lang w:eastAsia="es-CO"/>
                <w14:ligatures w14:val="none"/>
              </w:rPr>
              <w:t>%</w:t>
            </w:r>
          </w:p>
        </w:tc>
      </w:tr>
      <w:tr w:rsidR="00F81D98" w:rsidRPr="006068A2" w14:paraId="04E0A6A9" w14:textId="77777777" w:rsidTr="00F81D98">
        <w:trPr>
          <w:trHeight w:val="505"/>
        </w:trPr>
        <w:tc>
          <w:tcPr>
            <w:tcW w:w="4769" w:type="dxa"/>
            <w:noWrap/>
            <w:hideMark/>
          </w:tcPr>
          <w:p w14:paraId="73ADABB9"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COOSALUD ESP-S</w:t>
            </w:r>
          </w:p>
        </w:tc>
        <w:tc>
          <w:tcPr>
            <w:tcW w:w="2475" w:type="dxa"/>
            <w:noWrap/>
            <w:hideMark/>
          </w:tcPr>
          <w:p w14:paraId="68A1D975" w14:textId="77777777" w:rsidR="00F81D98" w:rsidRPr="006068A2" w:rsidRDefault="00F81D98" w:rsidP="006068A2">
            <w:pPr>
              <w:spacing w:line="360" w:lineRule="auto"/>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234</w:t>
            </w:r>
          </w:p>
        </w:tc>
        <w:tc>
          <w:tcPr>
            <w:tcW w:w="2319" w:type="dxa"/>
            <w:noWrap/>
            <w:hideMark/>
          </w:tcPr>
          <w:p w14:paraId="24204415" w14:textId="0160E4BB" w:rsidR="00F81D98" w:rsidRPr="006068A2" w:rsidRDefault="00F81D98" w:rsidP="00D56650">
            <w:pPr>
              <w:spacing w:line="360" w:lineRule="auto"/>
              <w:ind w:left="708" w:hanging="708"/>
              <w:jc w:val="both"/>
              <w:rPr>
                <w:rFonts w:ascii="Arial" w:hAnsi="Arial" w:cs="Arial"/>
                <w:kern w:val="0"/>
                <w:sz w:val="22"/>
                <w:szCs w:val="22"/>
                <w:lang w:eastAsia="es-CO"/>
                <w14:ligatures w14:val="none"/>
              </w:rPr>
            </w:pPr>
            <w:r w:rsidRPr="006068A2">
              <w:rPr>
                <w:rFonts w:ascii="Arial" w:hAnsi="Arial" w:cs="Arial"/>
                <w:kern w:val="0"/>
                <w:sz w:val="22"/>
                <w:szCs w:val="22"/>
                <w:lang w:eastAsia="es-CO"/>
                <w14:ligatures w14:val="none"/>
              </w:rPr>
              <w:t>89</w:t>
            </w:r>
            <w:r w:rsidR="00D56650">
              <w:rPr>
                <w:rFonts w:ascii="Arial" w:hAnsi="Arial" w:cs="Arial"/>
                <w:kern w:val="0"/>
                <w:sz w:val="22"/>
                <w:szCs w:val="22"/>
                <w:lang w:eastAsia="es-CO"/>
                <w14:ligatures w14:val="none"/>
              </w:rPr>
              <w:t>%</w:t>
            </w:r>
          </w:p>
        </w:tc>
      </w:tr>
      <w:tr w:rsidR="00F81D98" w:rsidRPr="006068A2" w14:paraId="018C3F93" w14:textId="77777777" w:rsidTr="00F81D98">
        <w:trPr>
          <w:trHeight w:val="505"/>
        </w:trPr>
        <w:tc>
          <w:tcPr>
            <w:tcW w:w="4769" w:type="dxa"/>
            <w:noWrap/>
            <w:hideMark/>
          </w:tcPr>
          <w:p w14:paraId="39664A62" w14:textId="44A1DE0B" w:rsidR="00F81D98" w:rsidRPr="006068A2" w:rsidRDefault="00CA486B"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Total,</w:t>
            </w:r>
            <w:r w:rsidR="00F81D98" w:rsidRPr="006068A2">
              <w:rPr>
                <w:rFonts w:ascii="Arial" w:hAnsi="Arial" w:cs="Arial"/>
                <w:b/>
                <w:bCs/>
                <w:kern w:val="0"/>
                <w:sz w:val="22"/>
                <w:szCs w:val="22"/>
                <w:lang w:eastAsia="es-CO"/>
                <w14:ligatures w14:val="none"/>
              </w:rPr>
              <w:t xml:space="preserve"> general</w:t>
            </w:r>
          </w:p>
        </w:tc>
        <w:tc>
          <w:tcPr>
            <w:tcW w:w="2475" w:type="dxa"/>
            <w:noWrap/>
            <w:hideMark/>
          </w:tcPr>
          <w:p w14:paraId="244052CB" w14:textId="77777777" w:rsidR="00F81D98" w:rsidRPr="006068A2" w:rsidRDefault="00F81D98"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263</w:t>
            </w:r>
          </w:p>
        </w:tc>
        <w:tc>
          <w:tcPr>
            <w:tcW w:w="2319" w:type="dxa"/>
            <w:noWrap/>
            <w:hideMark/>
          </w:tcPr>
          <w:p w14:paraId="52B4EA45" w14:textId="7D339C8B" w:rsidR="00F81D98" w:rsidRPr="006068A2" w:rsidRDefault="00F81D98" w:rsidP="006068A2">
            <w:pPr>
              <w:spacing w:line="360" w:lineRule="auto"/>
              <w:jc w:val="both"/>
              <w:rPr>
                <w:rFonts w:ascii="Arial" w:hAnsi="Arial" w:cs="Arial"/>
                <w:b/>
                <w:bCs/>
                <w:kern w:val="0"/>
                <w:sz w:val="22"/>
                <w:szCs w:val="22"/>
                <w:lang w:eastAsia="es-CO"/>
                <w14:ligatures w14:val="none"/>
              </w:rPr>
            </w:pPr>
            <w:r w:rsidRPr="006068A2">
              <w:rPr>
                <w:rFonts w:ascii="Arial" w:hAnsi="Arial" w:cs="Arial"/>
                <w:b/>
                <w:bCs/>
                <w:kern w:val="0"/>
                <w:sz w:val="22"/>
                <w:szCs w:val="22"/>
                <w:lang w:eastAsia="es-CO"/>
                <w14:ligatures w14:val="none"/>
              </w:rPr>
              <w:t>100</w:t>
            </w:r>
            <w:r w:rsidR="00D56650">
              <w:rPr>
                <w:rFonts w:ascii="Arial" w:hAnsi="Arial" w:cs="Arial"/>
                <w:b/>
                <w:bCs/>
                <w:kern w:val="0"/>
                <w:sz w:val="22"/>
                <w:szCs w:val="22"/>
                <w:lang w:eastAsia="es-CO"/>
                <w14:ligatures w14:val="none"/>
              </w:rPr>
              <w:t>%</w:t>
            </w:r>
          </w:p>
        </w:tc>
      </w:tr>
    </w:tbl>
    <w:p w14:paraId="7C6F8A18" w14:textId="77777777" w:rsidR="00F81D98" w:rsidRPr="00D56650" w:rsidRDefault="00F81D98" w:rsidP="006068A2">
      <w:pPr>
        <w:spacing w:line="360" w:lineRule="auto"/>
        <w:jc w:val="both"/>
        <w:rPr>
          <w:rFonts w:ascii="Arial" w:hAnsi="Arial" w:cs="Arial"/>
          <w:sz w:val="16"/>
          <w:szCs w:val="16"/>
        </w:rPr>
      </w:pPr>
      <w:r w:rsidRPr="00D56650">
        <w:rPr>
          <w:rFonts w:ascii="Arial" w:hAnsi="Arial" w:cs="Arial"/>
          <w:sz w:val="16"/>
          <w:szCs w:val="16"/>
        </w:rPr>
        <w:t>Fuente: Base de datos Bogotá Te Escucha - Dirección de Aseguramiento y Garantía del Derecho a la Salud-2026.- Sistema de información para el Monitoreo del Acceso-SIDMA</w:t>
      </w:r>
    </w:p>
    <w:p w14:paraId="77ADCACA" w14:textId="77777777" w:rsidR="00F81D98" w:rsidRPr="006068A2" w:rsidRDefault="00F81D98" w:rsidP="006068A2">
      <w:pPr>
        <w:spacing w:line="360" w:lineRule="auto"/>
        <w:jc w:val="both"/>
        <w:rPr>
          <w:rFonts w:ascii="Arial" w:hAnsi="Arial" w:cs="Arial"/>
          <w:sz w:val="22"/>
          <w:szCs w:val="22"/>
        </w:rPr>
      </w:pPr>
    </w:p>
    <w:p w14:paraId="5A3EF689" w14:textId="77777777" w:rsidR="001D17B0" w:rsidRPr="001D17B0" w:rsidRDefault="001D17B0" w:rsidP="001D17B0">
      <w:pPr>
        <w:spacing w:line="360" w:lineRule="auto"/>
        <w:jc w:val="both"/>
        <w:rPr>
          <w:rFonts w:ascii="Arial" w:hAnsi="Arial" w:cs="Arial"/>
          <w:sz w:val="22"/>
          <w:szCs w:val="22"/>
        </w:rPr>
      </w:pPr>
      <w:r w:rsidRPr="001D17B0">
        <w:rPr>
          <w:rFonts w:ascii="Arial" w:hAnsi="Arial" w:cs="Arial"/>
          <w:sz w:val="22"/>
          <w:szCs w:val="22"/>
        </w:rPr>
        <w:t>El predominio de PQRS en el régimen subsidiado resulta consistente con la mayor participación de esta población dentro de la operación de la EPS y puede estar relacionado con mayores necesidades de acompañamiento, barreras administrativas o dificultades en el acceso efectivo a los servicios de salud. En términos analíticos, esta concentración indica que la mayor parte de las manifestaciones ciudadanas atendidas por la Subdirección se origina en usuarios con condiciones potencialmente más sensibles frente a la garantía del aseguramiento, lo que refuerza la necesidad de focalizar acciones de inspección, vigilancia y seguimiento sobre los procesos que afectan la oportunidad de la atención, la continuidad de tratamientos, la autorización de servicios y la entrega de tecnologías en salud.</w:t>
      </w:r>
    </w:p>
    <w:p w14:paraId="3C84BE69" w14:textId="77777777" w:rsidR="001D17B0" w:rsidRPr="001D17B0" w:rsidRDefault="001D17B0" w:rsidP="001D17B0">
      <w:pPr>
        <w:spacing w:line="360" w:lineRule="auto"/>
        <w:jc w:val="both"/>
        <w:rPr>
          <w:rFonts w:ascii="Arial" w:hAnsi="Arial" w:cs="Arial"/>
          <w:sz w:val="22"/>
          <w:szCs w:val="22"/>
        </w:rPr>
      </w:pPr>
    </w:p>
    <w:p w14:paraId="4B039A3B" w14:textId="4B89976A" w:rsidR="00F81D98" w:rsidRDefault="001D17B0" w:rsidP="001D17B0">
      <w:pPr>
        <w:spacing w:line="360" w:lineRule="auto"/>
        <w:jc w:val="both"/>
        <w:rPr>
          <w:rFonts w:ascii="Arial" w:hAnsi="Arial" w:cs="Arial"/>
          <w:sz w:val="22"/>
          <w:szCs w:val="22"/>
        </w:rPr>
      </w:pPr>
      <w:r w:rsidRPr="001D17B0">
        <w:rPr>
          <w:rFonts w:ascii="Arial" w:hAnsi="Arial" w:cs="Arial"/>
          <w:sz w:val="22"/>
          <w:szCs w:val="22"/>
        </w:rPr>
        <w:t>En este contexto, el comportamiento de las PQRS de COOSALUD EPS durante 2025 no solo permite identificar la magnitud de las inconformidades registradas, sino también reconocer que las principales tensiones del aseguramiento se concentran en el régimen subsidiado, donde se acumula casi nueve de cada diez manifestaciones tramitadas. Este resultado constituye un insumo relevante para orientar acciones correctivas y preventivas, priorizar intervenciones sobre los puntos críticos de la operación y fortalecer la respuesta institucional frente a las necesidades de la población afiliada más vulnerable.</w:t>
      </w:r>
    </w:p>
    <w:p w14:paraId="4345D667" w14:textId="77777777" w:rsidR="001D17B0" w:rsidRPr="006068A2" w:rsidRDefault="001D17B0" w:rsidP="001D17B0">
      <w:pPr>
        <w:spacing w:line="360" w:lineRule="auto"/>
        <w:jc w:val="both"/>
        <w:rPr>
          <w:rFonts w:ascii="Arial" w:hAnsi="Arial" w:cs="Arial"/>
          <w:sz w:val="22"/>
          <w:szCs w:val="22"/>
        </w:rPr>
      </w:pPr>
    </w:p>
    <w:p w14:paraId="6440A944" w14:textId="43701B88" w:rsidR="00F81D98" w:rsidRPr="00556B9A" w:rsidRDefault="00556B9A" w:rsidP="00556B9A">
      <w:pPr>
        <w:pStyle w:val="Ttulo2"/>
        <w:numPr>
          <w:ilvl w:val="1"/>
          <w:numId w:val="9"/>
        </w:numPr>
        <w:spacing w:before="0" w:line="360" w:lineRule="auto"/>
        <w:jc w:val="both"/>
        <w:rPr>
          <w:rFonts w:ascii="Arial" w:eastAsia="Arial" w:hAnsi="Arial" w:cs="Arial"/>
          <w:b/>
          <w:bCs/>
          <w:color w:val="auto"/>
          <w:sz w:val="22"/>
          <w:szCs w:val="22"/>
        </w:rPr>
      </w:pPr>
      <w:bookmarkStart w:id="32" w:name="_Toc229397840"/>
      <w:r w:rsidRPr="00556B9A">
        <w:rPr>
          <w:rFonts w:ascii="Arial" w:eastAsia="Arial" w:hAnsi="Arial" w:cs="Arial"/>
          <w:b/>
          <w:bCs/>
          <w:color w:val="auto"/>
          <w:sz w:val="22"/>
          <w:szCs w:val="22"/>
        </w:rPr>
        <w:lastRenderedPageBreak/>
        <w:t xml:space="preserve">Oportunidad de respuesta </w:t>
      </w:r>
      <w:r w:rsidR="00FE1BF2" w:rsidRPr="00556B9A">
        <w:rPr>
          <w:rFonts w:ascii="Arial" w:eastAsia="Arial" w:hAnsi="Arial" w:cs="Arial"/>
          <w:b/>
          <w:bCs/>
          <w:color w:val="auto"/>
          <w:sz w:val="22"/>
          <w:szCs w:val="22"/>
        </w:rPr>
        <w:t xml:space="preserve">EPS </w:t>
      </w:r>
      <w:r w:rsidR="00DB7044" w:rsidRPr="00556B9A">
        <w:rPr>
          <w:rFonts w:ascii="Arial" w:eastAsia="Arial" w:hAnsi="Arial" w:cs="Arial"/>
          <w:b/>
          <w:bCs/>
          <w:color w:val="auto"/>
          <w:sz w:val="22"/>
          <w:szCs w:val="22"/>
        </w:rPr>
        <w:t xml:space="preserve">COOSALUD </w:t>
      </w:r>
      <w:r w:rsidRPr="00556B9A">
        <w:rPr>
          <w:rFonts w:ascii="Arial" w:eastAsia="Arial" w:hAnsi="Arial" w:cs="Arial"/>
          <w:b/>
          <w:bCs/>
          <w:color w:val="auto"/>
          <w:sz w:val="22"/>
          <w:szCs w:val="22"/>
        </w:rPr>
        <w:t>Año 2025</w:t>
      </w:r>
      <w:bookmarkEnd w:id="32"/>
    </w:p>
    <w:p w14:paraId="1D64E79D" w14:textId="77777777" w:rsidR="00CA486B" w:rsidRDefault="00CA486B" w:rsidP="006068A2">
      <w:pPr>
        <w:spacing w:line="360" w:lineRule="auto"/>
        <w:jc w:val="both"/>
        <w:rPr>
          <w:rFonts w:ascii="Arial" w:hAnsi="Arial" w:cs="Arial"/>
          <w:sz w:val="22"/>
          <w:szCs w:val="22"/>
        </w:rPr>
      </w:pPr>
    </w:p>
    <w:p w14:paraId="45A7665D" w14:textId="47A8CC23" w:rsidR="00F81D98" w:rsidRDefault="002954EE" w:rsidP="006068A2">
      <w:pPr>
        <w:spacing w:line="360" w:lineRule="auto"/>
        <w:jc w:val="both"/>
        <w:rPr>
          <w:rFonts w:ascii="Arial" w:hAnsi="Arial" w:cs="Arial"/>
          <w:sz w:val="22"/>
          <w:szCs w:val="22"/>
        </w:rPr>
      </w:pPr>
      <w:r w:rsidRPr="002954EE">
        <w:rPr>
          <w:rFonts w:ascii="Arial" w:hAnsi="Arial" w:cs="Arial"/>
          <w:sz w:val="22"/>
          <w:szCs w:val="22"/>
        </w:rPr>
        <w:t>Para el año 2025 se evidenció que el tiempo promedio de respuesta de fondo a las 263 PQRS trasladadas a COOSALUD EPS fue de 29 días hábiles, de acuerdo con la información consolidada por la Subdirección de Garantía del Aseguramiento. Este resultado muestra una oportunidad de respuesta superior al término general de 15 días hábiles previsto en la normatividad aplicable para las peticiones de interés particular, lo que sugiere demoras relevantes en la gestión de las manifestaciones ciudadanas. No obstante, dado que algunas PQRS pueden corresponder a categorías con tiempos diferenciales de respuesta según su nivel de riesgo, este resultado debe interpretarse de manera complementaria con el análisis específico de cumplimiento por tipo de manifestación.</w:t>
      </w:r>
    </w:p>
    <w:p w14:paraId="248D4964" w14:textId="77777777" w:rsidR="002954EE" w:rsidRPr="006068A2" w:rsidRDefault="002954EE" w:rsidP="006068A2">
      <w:pPr>
        <w:spacing w:line="360" w:lineRule="auto"/>
        <w:jc w:val="both"/>
        <w:rPr>
          <w:rFonts w:ascii="Arial" w:hAnsi="Arial" w:cs="Arial"/>
          <w:sz w:val="22"/>
          <w:szCs w:val="22"/>
        </w:rPr>
      </w:pPr>
    </w:p>
    <w:p w14:paraId="538635FF" w14:textId="25F5F03B" w:rsidR="00F81D98" w:rsidRPr="006068A2" w:rsidRDefault="006203BE" w:rsidP="00562305">
      <w:pPr>
        <w:pStyle w:val="Descripcin"/>
        <w:spacing w:after="0" w:line="360" w:lineRule="auto"/>
        <w:jc w:val="center"/>
        <w:rPr>
          <w:rFonts w:ascii="Arial" w:hAnsi="Arial" w:cs="Arial"/>
          <w:i w:val="0"/>
          <w:iCs w:val="0"/>
          <w:color w:val="auto"/>
          <w:sz w:val="22"/>
          <w:szCs w:val="22"/>
        </w:rPr>
      </w:pPr>
      <w:bookmarkStart w:id="33" w:name="_Toc229395922"/>
      <w:r w:rsidRPr="006068A2">
        <w:rPr>
          <w:rFonts w:ascii="Arial" w:hAnsi="Arial" w:cs="Arial"/>
          <w:i w:val="0"/>
          <w:iCs w:val="0"/>
          <w:color w:val="auto"/>
          <w:sz w:val="22"/>
          <w:szCs w:val="22"/>
        </w:rPr>
        <w:t xml:space="preserve">Ilustración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Ilustración \* ARABIC </w:instrText>
      </w:r>
      <w:r w:rsidRPr="006068A2">
        <w:rPr>
          <w:rFonts w:ascii="Arial" w:hAnsi="Arial" w:cs="Arial"/>
          <w:i w:val="0"/>
          <w:iCs w:val="0"/>
          <w:color w:val="auto"/>
          <w:sz w:val="22"/>
          <w:szCs w:val="22"/>
        </w:rPr>
        <w:fldChar w:fldCharType="separate"/>
      </w:r>
      <w:r w:rsidR="009E481B">
        <w:rPr>
          <w:rFonts w:ascii="Arial" w:hAnsi="Arial" w:cs="Arial"/>
          <w:i w:val="0"/>
          <w:iCs w:val="0"/>
          <w:noProof/>
          <w:color w:val="auto"/>
          <w:sz w:val="22"/>
          <w:szCs w:val="22"/>
        </w:rPr>
        <w:t>4</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 xml:space="preserve">. </w:t>
      </w:r>
      <w:r w:rsidR="00F81D98" w:rsidRPr="006068A2">
        <w:rPr>
          <w:rFonts w:ascii="Arial" w:hAnsi="Arial" w:cs="Arial"/>
          <w:i w:val="0"/>
          <w:iCs w:val="0"/>
          <w:color w:val="auto"/>
          <w:sz w:val="22"/>
          <w:szCs w:val="22"/>
        </w:rPr>
        <w:t>Oportunidad de respuesta en días hábiles</w:t>
      </w:r>
      <w:r w:rsidR="00562305">
        <w:rPr>
          <w:rFonts w:ascii="Arial" w:hAnsi="Arial" w:cs="Arial"/>
          <w:i w:val="0"/>
          <w:iCs w:val="0"/>
          <w:color w:val="auto"/>
          <w:sz w:val="22"/>
          <w:szCs w:val="22"/>
        </w:rPr>
        <w:t xml:space="preserve"> de enero a diciembre de 2025</w:t>
      </w:r>
      <w:bookmarkEnd w:id="33"/>
    </w:p>
    <w:p w14:paraId="5ED25346" w14:textId="31AC3767" w:rsidR="00F81D98" w:rsidRDefault="00F81D98" w:rsidP="006068A2">
      <w:pPr>
        <w:spacing w:line="360" w:lineRule="auto"/>
        <w:jc w:val="both"/>
        <w:rPr>
          <w:rFonts w:ascii="Arial" w:hAnsi="Arial" w:cs="Arial"/>
          <w:noProof/>
          <w:sz w:val="22"/>
          <w:szCs w:val="22"/>
          <w:lang w:eastAsia="es-CO"/>
        </w:rPr>
      </w:pPr>
    </w:p>
    <w:p w14:paraId="533C5E36" w14:textId="6635C667" w:rsidR="002954EE" w:rsidRDefault="002954EE" w:rsidP="006068A2">
      <w:pPr>
        <w:spacing w:line="360" w:lineRule="auto"/>
        <w:jc w:val="both"/>
        <w:rPr>
          <w:rFonts w:ascii="Arial" w:hAnsi="Arial" w:cs="Arial"/>
          <w:noProof/>
          <w:sz w:val="22"/>
          <w:szCs w:val="22"/>
          <w:lang w:eastAsia="es-CO"/>
        </w:rPr>
      </w:pPr>
      <w:r>
        <w:rPr>
          <w:noProof/>
        </w:rPr>
        <w:drawing>
          <wp:anchor distT="0" distB="0" distL="114300" distR="114300" simplePos="0" relativeHeight="251666432" behindDoc="0" locked="0" layoutInCell="1" allowOverlap="1" wp14:anchorId="0F69B99F" wp14:editId="1D59185D">
            <wp:simplePos x="0" y="0"/>
            <wp:positionH relativeFrom="column">
              <wp:posOffset>-422910</wp:posOffset>
            </wp:positionH>
            <wp:positionV relativeFrom="paragraph">
              <wp:posOffset>205740</wp:posOffset>
            </wp:positionV>
            <wp:extent cx="6610350" cy="3295650"/>
            <wp:effectExtent l="0" t="0" r="0" b="0"/>
            <wp:wrapTopAndBottom/>
            <wp:docPr id="8" name="Gráfico 8">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margin">
              <wp14:pctWidth>0</wp14:pctWidth>
            </wp14:sizeRelH>
            <wp14:sizeRelV relativeFrom="margin">
              <wp14:pctHeight>0</wp14:pctHeight>
            </wp14:sizeRelV>
          </wp:anchor>
        </w:drawing>
      </w:r>
    </w:p>
    <w:p w14:paraId="45D183E3" w14:textId="77777777" w:rsidR="00F81D98" w:rsidRPr="00C23D44" w:rsidRDefault="00F81D98" w:rsidP="006068A2">
      <w:pPr>
        <w:spacing w:line="360" w:lineRule="auto"/>
        <w:jc w:val="both"/>
        <w:rPr>
          <w:rFonts w:ascii="Arial" w:hAnsi="Arial" w:cs="Arial"/>
          <w:sz w:val="16"/>
          <w:szCs w:val="16"/>
        </w:rPr>
      </w:pPr>
      <w:r w:rsidRPr="00C23D44">
        <w:rPr>
          <w:rFonts w:ascii="Arial" w:hAnsi="Arial" w:cs="Arial"/>
          <w:sz w:val="16"/>
          <w:szCs w:val="16"/>
        </w:rPr>
        <w:t> Fuente: Base de datos Bogotá Te Escucha - Dirección de Aseguramiento y Garantía del Derecho a la Salud-2026.- Sistema de información para el Monitoreo del Acceso-SIDMA</w:t>
      </w:r>
    </w:p>
    <w:p w14:paraId="4D8F51F2" w14:textId="77777777" w:rsidR="006203BE" w:rsidRDefault="006203BE" w:rsidP="006068A2">
      <w:pPr>
        <w:spacing w:line="360" w:lineRule="auto"/>
        <w:jc w:val="both"/>
        <w:rPr>
          <w:rFonts w:ascii="Arial" w:hAnsi="Arial" w:cs="Arial"/>
          <w:sz w:val="22"/>
          <w:szCs w:val="22"/>
        </w:rPr>
      </w:pPr>
    </w:p>
    <w:p w14:paraId="00330661" w14:textId="77777777" w:rsidR="00D926A7" w:rsidRDefault="00D926A7" w:rsidP="006068A2">
      <w:pPr>
        <w:spacing w:line="360" w:lineRule="auto"/>
        <w:jc w:val="both"/>
        <w:rPr>
          <w:rFonts w:ascii="Arial" w:hAnsi="Arial" w:cs="Arial"/>
          <w:sz w:val="22"/>
          <w:szCs w:val="22"/>
        </w:rPr>
      </w:pPr>
      <w:r w:rsidRPr="00D926A7">
        <w:rPr>
          <w:rFonts w:ascii="Arial" w:hAnsi="Arial" w:cs="Arial"/>
          <w:sz w:val="22"/>
          <w:szCs w:val="22"/>
        </w:rPr>
        <w:t xml:space="preserve">La Ilustración 4 evidencia un comportamiento fluctuante en la oportunidad de respuesta de COOSALUD EPS durante 2025, con variaciones importantes entre los diferentes meses del </w:t>
      </w:r>
      <w:r w:rsidRPr="00D926A7">
        <w:rPr>
          <w:rFonts w:ascii="Arial" w:hAnsi="Arial" w:cs="Arial"/>
          <w:sz w:val="22"/>
          <w:szCs w:val="22"/>
        </w:rPr>
        <w:lastRenderedPageBreak/>
        <w:t xml:space="preserve">año. Los mayores tiempos promedio de respuesta se registraron en marzo, con 50 días hábiles, seguido de enero con 45 días y abril con 40 días, valores que superan ampliamente el término general de 15 días hábiles y reflejan periodos de mayor rezago en la gestión de las PQRS. </w:t>
      </w:r>
    </w:p>
    <w:p w14:paraId="4B0B7052" w14:textId="77777777" w:rsidR="00D926A7" w:rsidRDefault="00D926A7" w:rsidP="006068A2">
      <w:pPr>
        <w:spacing w:line="360" w:lineRule="auto"/>
        <w:jc w:val="both"/>
        <w:rPr>
          <w:rFonts w:ascii="Arial" w:hAnsi="Arial" w:cs="Arial"/>
          <w:sz w:val="22"/>
          <w:szCs w:val="22"/>
        </w:rPr>
      </w:pPr>
    </w:p>
    <w:p w14:paraId="785E8AC3" w14:textId="40886159" w:rsidR="00D926A7" w:rsidRPr="00FD7FF7" w:rsidRDefault="00D926A7" w:rsidP="006068A2">
      <w:pPr>
        <w:spacing w:line="360" w:lineRule="auto"/>
        <w:jc w:val="both"/>
        <w:rPr>
          <w:rFonts w:ascii="Arial" w:hAnsi="Arial" w:cs="Arial"/>
          <w:sz w:val="22"/>
          <w:szCs w:val="22"/>
        </w:rPr>
      </w:pPr>
      <w:r w:rsidRPr="00D926A7">
        <w:rPr>
          <w:rFonts w:ascii="Arial" w:hAnsi="Arial" w:cs="Arial"/>
          <w:sz w:val="22"/>
          <w:szCs w:val="22"/>
        </w:rPr>
        <w:t>Aunque en meses como octubre y noviembre el promedio descendió a 15 días hábiles, alineándose con el referente normativo general, el comportamiento global del año muestra que estos resultados favorables no fueron sostenidos. En efecto, el promedio anual de 29 días hábiles confirma una oportunidad de respuesta persistentemente insuficiente, lo que sugiere dificultades operativas en la atención, trámite y cierre de las manifestaciones ciudadanas. En este contexto, la variabilidad mensual observada puede estar asociada a problemas en la capacidad de gestión, acumulación de casos, tiempos de escalamiento interno o debilidades en el seguimiento a los plazos de respuesta, aspectos que ameritan revisión y fortalecimiento institucional.</w:t>
      </w:r>
    </w:p>
    <w:p w14:paraId="0AF1C7A6" w14:textId="77777777" w:rsidR="006203BE" w:rsidRPr="006068A2" w:rsidRDefault="006203BE" w:rsidP="006068A2">
      <w:pPr>
        <w:spacing w:line="360" w:lineRule="auto"/>
        <w:jc w:val="both"/>
        <w:rPr>
          <w:rFonts w:ascii="Arial" w:hAnsi="Arial" w:cs="Arial"/>
          <w:sz w:val="22"/>
          <w:szCs w:val="22"/>
        </w:rPr>
      </w:pPr>
    </w:p>
    <w:p w14:paraId="11BD850B" w14:textId="050B3699" w:rsidR="00F81D98" w:rsidRPr="00DB6166" w:rsidRDefault="00DB6166" w:rsidP="00DB6166">
      <w:pPr>
        <w:pStyle w:val="Ttulo2"/>
        <w:numPr>
          <w:ilvl w:val="1"/>
          <w:numId w:val="9"/>
        </w:numPr>
        <w:spacing w:before="0" w:line="360" w:lineRule="auto"/>
        <w:jc w:val="both"/>
        <w:rPr>
          <w:rFonts w:ascii="Arial" w:eastAsia="Arial" w:hAnsi="Arial" w:cs="Arial"/>
          <w:b/>
          <w:bCs/>
          <w:color w:val="auto"/>
          <w:sz w:val="22"/>
          <w:szCs w:val="22"/>
        </w:rPr>
      </w:pPr>
      <w:bookmarkStart w:id="34" w:name="_Toc229397841"/>
      <w:r w:rsidRPr="00DB6166">
        <w:rPr>
          <w:rFonts w:ascii="Arial" w:eastAsia="Arial" w:hAnsi="Arial" w:cs="Arial"/>
          <w:b/>
          <w:bCs/>
          <w:color w:val="auto"/>
          <w:sz w:val="22"/>
          <w:szCs w:val="22"/>
        </w:rPr>
        <w:t xml:space="preserve">Barreras de acceso Año 2025 </w:t>
      </w:r>
      <w:r w:rsidR="006532D0" w:rsidRPr="00DB6166">
        <w:rPr>
          <w:rFonts w:ascii="Arial" w:eastAsia="Arial" w:hAnsi="Arial" w:cs="Arial"/>
          <w:b/>
          <w:bCs/>
          <w:color w:val="auto"/>
          <w:sz w:val="22"/>
          <w:szCs w:val="22"/>
        </w:rPr>
        <w:t>EPS COOSALUD</w:t>
      </w:r>
      <w:bookmarkEnd w:id="34"/>
    </w:p>
    <w:p w14:paraId="753678FE" w14:textId="77777777" w:rsidR="00DB6166" w:rsidRDefault="00DB6166" w:rsidP="006068A2">
      <w:pPr>
        <w:pStyle w:val="Descripcin"/>
        <w:spacing w:after="0" w:line="360" w:lineRule="auto"/>
        <w:jc w:val="both"/>
        <w:rPr>
          <w:rFonts w:ascii="Arial" w:hAnsi="Arial" w:cs="Arial"/>
          <w:i w:val="0"/>
          <w:iCs w:val="0"/>
          <w:color w:val="auto"/>
          <w:sz w:val="22"/>
          <w:szCs w:val="22"/>
        </w:rPr>
      </w:pPr>
    </w:p>
    <w:p w14:paraId="55545A11" w14:textId="527CE8F7" w:rsidR="00DB6166" w:rsidRDefault="00DB6166" w:rsidP="006068A2">
      <w:pPr>
        <w:pStyle w:val="Descripcin"/>
        <w:spacing w:after="0" w:line="360" w:lineRule="auto"/>
        <w:jc w:val="both"/>
        <w:rPr>
          <w:rFonts w:ascii="Arial" w:hAnsi="Arial" w:cs="Arial"/>
          <w:i w:val="0"/>
          <w:iCs w:val="0"/>
          <w:color w:val="auto"/>
          <w:sz w:val="22"/>
          <w:szCs w:val="22"/>
        </w:rPr>
      </w:pPr>
      <w:r w:rsidRPr="00DB6166">
        <w:rPr>
          <w:rFonts w:ascii="Arial" w:hAnsi="Arial" w:cs="Arial"/>
          <w:i w:val="0"/>
          <w:iCs w:val="0"/>
          <w:color w:val="auto"/>
          <w:sz w:val="22"/>
          <w:szCs w:val="22"/>
        </w:rPr>
        <w:t>Con el propósito de identificar las principales barreras de acceso que afectaron a la población afiliada a COOSALUD EPS en Bogotá D. C. durante la vigencia 2025, se analizó la clasificación de las PQRS tramitadas por la Subdirección de Garantía del Aseguramiento. Este análisis permite reconocer los eventos que con mayor frecuencia incidieron en la experiencia de los usuarios y en la garantía efectiva del acceso a los servicios de salud, así como orientar acciones de seguimiento y mejora sobre los componentes críticos de la operación de la EPS.</w:t>
      </w:r>
    </w:p>
    <w:p w14:paraId="25C0B441" w14:textId="77777777" w:rsidR="00DB6166" w:rsidRDefault="00DB6166" w:rsidP="006068A2">
      <w:pPr>
        <w:pStyle w:val="Descripcin"/>
        <w:spacing w:after="0" w:line="360" w:lineRule="auto"/>
        <w:jc w:val="both"/>
        <w:rPr>
          <w:rFonts w:ascii="Arial" w:hAnsi="Arial" w:cs="Arial"/>
          <w:i w:val="0"/>
          <w:iCs w:val="0"/>
          <w:color w:val="auto"/>
          <w:sz w:val="22"/>
          <w:szCs w:val="22"/>
        </w:rPr>
      </w:pPr>
    </w:p>
    <w:p w14:paraId="04528BD1" w14:textId="4B7A73A9" w:rsidR="000D3638" w:rsidRDefault="006203BE" w:rsidP="00A75D9C">
      <w:pPr>
        <w:pStyle w:val="Descripcin"/>
        <w:spacing w:after="0" w:line="360" w:lineRule="auto"/>
        <w:jc w:val="both"/>
        <w:rPr>
          <w:rFonts w:ascii="Arial" w:hAnsi="Arial" w:cs="Arial"/>
          <w:i w:val="0"/>
          <w:iCs w:val="0"/>
          <w:color w:val="auto"/>
          <w:sz w:val="22"/>
          <w:szCs w:val="22"/>
        </w:rPr>
      </w:pPr>
      <w:bookmarkStart w:id="35" w:name="_Toc229395867"/>
      <w:r w:rsidRPr="006068A2">
        <w:rPr>
          <w:rFonts w:ascii="Arial" w:hAnsi="Arial" w:cs="Arial"/>
          <w:i w:val="0"/>
          <w:iCs w:val="0"/>
          <w:color w:val="auto"/>
          <w:sz w:val="22"/>
          <w:szCs w:val="22"/>
        </w:rPr>
        <w:t xml:space="preserve">Tabla </w:t>
      </w: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SEQ Tabla \* ARABIC </w:instrText>
      </w:r>
      <w:r w:rsidRPr="006068A2">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10</w:t>
      </w:r>
      <w:r w:rsidRPr="006068A2">
        <w:rPr>
          <w:rFonts w:ascii="Arial" w:hAnsi="Arial" w:cs="Arial"/>
          <w:i w:val="0"/>
          <w:iCs w:val="0"/>
          <w:color w:val="auto"/>
          <w:sz w:val="22"/>
          <w:szCs w:val="22"/>
        </w:rPr>
        <w:fldChar w:fldCharType="end"/>
      </w:r>
      <w:r w:rsidRPr="006068A2">
        <w:rPr>
          <w:rFonts w:ascii="Arial" w:hAnsi="Arial" w:cs="Arial"/>
          <w:i w:val="0"/>
          <w:iCs w:val="0"/>
          <w:color w:val="auto"/>
          <w:sz w:val="22"/>
          <w:szCs w:val="22"/>
        </w:rPr>
        <w:t>.</w:t>
      </w:r>
      <w:r w:rsidR="00F81D98" w:rsidRPr="006068A2">
        <w:rPr>
          <w:rFonts w:ascii="Arial" w:hAnsi="Arial" w:cs="Arial"/>
          <w:i w:val="0"/>
          <w:iCs w:val="0"/>
          <w:color w:val="auto"/>
          <w:sz w:val="22"/>
          <w:szCs w:val="22"/>
        </w:rPr>
        <w:t xml:space="preserve"> Barreras de Acceso EPS COOSALUD año 2025</w:t>
      </w:r>
      <w:bookmarkEnd w:id="35"/>
    </w:p>
    <w:p w14:paraId="2EA5A7DA" w14:textId="3C7C36E4" w:rsidR="00F81D98" w:rsidRPr="006068A2" w:rsidRDefault="00F81D98" w:rsidP="006068A2">
      <w:pPr>
        <w:pStyle w:val="Descripcin"/>
        <w:spacing w:after="0" w:line="360" w:lineRule="auto"/>
        <w:jc w:val="both"/>
        <w:rPr>
          <w:rFonts w:ascii="Arial" w:hAnsi="Arial" w:cs="Arial"/>
          <w:i w:val="0"/>
          <w:iCs w:val="0"/>
          <w:color w:val="auto"/>
          <w:sz w:val="22"/>
          <w:szCs w:val="22"/>
        </w:rPr>
      </w:pPr>
      <w:r w:rsidRPr="006068A2">
        <w:rPr>
          <w:rFonts w:ascii="Arial" w:hAnsi="Arial" w:cs="Arial"/>
          <w:i w:val="0"/>
          <w:iCs w:val="0"/>
          <w:color w:val="auto"/>
          <w:sz w:val="22"/>
          <w:szCs w:val="22"/>
        </w:rPr>
        <w:fldChar w:fldCharType="begin"/>
      </w:r>
      <w:r w:rsidRPr="006068A2">
        <w:rPr>
          <w:rFonts w:ascii="Arial" w:hAnsi="Arial" w:cs="Arial"/>
          <w:i w:val="0"/>
          <w:iCs w:val="0"/>
          <w:color w:val="auto"/>
          <w:sz w:val="22"/>
          <w:szCs w:val="22"/>
        </w:rPr>
        <w:instrText xml:space="preserve"> LINK Excel.Sheet.12 "C:\\Users\\lysalamanca\\Downloads\\Información COOSALUD Vigencia 2025.xlsx" "Hoja1!F9C1:F19C3" \a \f 4 \h  \* MERGEFORMAT </w:instrText>
      </w:r>
      <w:r w:rsidRPr="006068A2">
        <w:rPr>
          <w:rFonts w:ascii="Arial" w:hAnsi="Arial" w:cs="Arial"/>
          <w:i w:val="0"/>
          <w:iCs w:val="0"/>
          <w:color w:val="auto"/>
          <w:sz w:val="22"/>
          <w:szCs w:val="22"/>
        </w:rPr>
        <w:fldChar w:fldCharType="separate"/>
      </w:r>
    </w:p>
    <w:tbl>
      <w:tblPr>
        <w:tblStyle w:val="Tablaconcuadrcula"/>
        <w:tblW w:w="5135" w:type="pct"/>
        <w:jc w:val="center"/>
        <w:tblLook w:val="04A0" w:firstRow="1" w:lastRow="0" w:firstColumn="1" w:lastColumn="0" w:noHBand="0" w:noVBand="1"/>
      </w:tblPr>
      <w:tblGrid>
        <w:gridCol w:w="7637"/>
        <w:gridCol w:w="1475"/>
        <w:gridCol w:w="584"/>
      </w:tblGrid>
      <w:tr w:rsidR="00F81D98" w:rsidRPr="00363099" w14:paraId="58CDB891" w14:textId="77777777" w:rsidTr="00B34B33">
        <w:trPr>
          <w:trHeight w:val="405"/>
          <w:tblHeader/>
          <w:jc w:val="center"/>
        </w:trPr>
        <w:tc>
          <w:tcPr>
            <w:tcW w:w="3819" w:type="pct"/>
            <w:noWrap/>
            <w:hideMark/>
          </w:tcPr>
          <w:p w14:paraId="24251A28" w14:textId="77777777" w:rsidR="00F81D98" w:rsidRPr="00363099" w:rsidRDefault="00F81D98" w:rsidP="00363099">
            <w:pPr>
              <w:spacing w:line="360" w:lineRule="auto"/>
              <w:jc w:val="center"/>
              <w:rPr>
                <w:rFonts w:ascii="Arial" w:hAnsi="Arial" w:cs="Arial"/>
                <w:b/>
                <w:bCs/>
                <w:kern w:val="0"/>
                <w:sz w:val="22"/>
                <w:szCs w:val="22"/>
                <w:lang w:eastAsia="es-CO"/>
                <w14:ligatures w14:val="none"/>
              </w:rPr>
            </w:pPr>
            <w:r w:rsidRPr="00363099">
              <w:rPr>
                <w:rFonts w:ascii="Arial" w:hAnsi="Arial" w:cs="Arial"/>
                <w:b/>
                <w:bCs/>
                <w:kern w:val="0"/>
                <w:sz w:val="22"/>
                <w:szCs w:val="22"/>
                <w:lang w:eastAsia="es-CO"/>
                <w14:ligatures w14:val="none"/>
              </w:rPr>
              <w:t>CATEGORIA- BARRERA DE ACCESO</w:t>
            </w:r>
          </w:p>
        </w:tc>
        <w:tc>
          <w:tcPr>
            <w:tcW w:w="747" w:type="pct"/>
            <w:hideMark/>
          </w:tcPr>
          <w:p w14:paraId="3E6940B4" w14:textId="77777777" w:rsidR="00F81D98" w:rsidRPr="00363099" w:rsidRDefault="00F81D98" w:rsidP="00B34B33">
            <w:pPr>
              <w:spacing w:line="360" w:lineRule="auto"/>
              <w:jc w:val="center"/>
              <w:rPr>
                <w:rFonts w:ascii="Arial" w:hAnsi="Arial" w:cs="Arial"/>
                <w:b/>
                <w:bCs/>
                <w:kern w:val="0"/>
                <w:sz w:val="22"/>
                <w:szCs w:val="22"/>
                <w:lang w:eastAsia="es-CO"/>
                <w14:ligatures w14:val="none"/>
              </w:rPr>
            </w:pPr>
            <w:r w:rsidRPr="00363099">
              <w:rPr>
                <w:rFonts w:ascii="Arial" w:hAnsi="Arial" w:cs="Arial"/>
                <w:b/>
                <w:bCs/>
                <w:kern w:val="0"/>
                <w:sz w:val="22"/>
                <w:szCs w:val="22"/>
                <w:lang w:eastAsia="es-CO"/>
                <w14:ligatures w14:val="none"/>
              </w:rPr>
              <w:t>EPS COOSALUD</w:t>
            </w:r>
          </w:p>
        </w:tc>
        <w:tc>
          <w:tcPr>
            <w:tcW w:w="435" w:type="pct"/>
            <w:noWrap/>
            <w:hideMark/>
          </w:tcPr>
          <w:p w14:paraId="66E420DD" w14:textId="77777777" w:rsidR="00F81D98" w:rsidRPr="00363099" w:rsidRDefault="00F81D98" w:rsidP="00B34B33">
            <w:pPr>
              <w:spacing w:line="360" w:lineRule="auto"/>
              <w:jc w:val="center"/>
              <w:rPr>
                <w:rFonts w:ascii="Arial" w:hAnsi="Arial" w:cs="Arial"/>
                <w:b/>
                <w:bCs/>
                <w:kern w:val="0"/>
                <w:sz w:val="22"/>
                <w:szCs w:val="22"/>
                <w:lang w:eastAsia="es-CO"/>
                <w14:ligatures w14:val="none"/>
              </w:rPr>
            </w:pPr>
            <w:r w:rsidRPr="00363099">
              <w:rPr>
                <w:rFonts w:ascii="Arial" w:hAnsi="Arial" w:cs="Arial"/>
                <w:b/>
                <w:bCs/>
                <w:kern w:val="0"/>
                <w:sz w:val="22"/>
                <w:szCs w:val="22"/>
                <w:lang w:eastAsia="es-CO"/>
                <w14:ligatures w14:val="none"/>
              </w:rPr>
              <w:t>%</w:t>
            </w:r>
          </w:p>
        </w:tc>
      </w:tr>
      <w:tr w:rsidR="00F81D98" w:rsidRPr="00363099" w14:paraId="226EA7AD" w14:textId="77777777" w:rsidTr="00363099">
        <w:trPr>
          <w:trHeight w:val="585"/>
          <w:jc w:val="center"/>
        </w:trPr>
        <w:tc>
          <w:tcPr>
            <w:tcW w:w="3819" w:type="pct"/>
            <w:hideMark/>
          </w:tcPr>
          <w:p w14:paraId="672E7D4C"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NO_OPORTUNIDAD_SERVICIOS</w:t>
            </w:r>
          </w:p>
        </w:tc>
        <w:tc>
          <w:tcPr>
            <w:tcW w:w="747" w:type="pct"/>
            <w:noWrap/>
            <w:hideMark/>
          </w:tcPr>
          <w:p w14:paraId="7D89B8A7"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194</w:t>
            </w:r>
          </w:p>
        </w:tc>
        <w:tc>
          <w:tcPr>
            <w:tcW w:w="435" w:type="pct"/>
            <w:noWrap/>
            <w:hideMark/>
          </w:tcPr>
          <w:p w14:paraId="277DDC06"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74</w:t>
            </w:r>
          </w:p>
        </w:tc>
      </w:tr>
      <w:tr w:rsidR="00F81D98" w:rsidRPr="00363099" w14:paraId="3E93F661" w14:textId="77777777" w:rsidTr="00363099">
        <w:trPr>
          <w:trHeight w:val="510"/>
          <w:jc w:val="center"/>
        </w:trPr>
        <w:tc>
          <w:tcPr>
            <w:tcW w:w="3819" w:type="pct"/>
            <w:hideMark/>
          </w:tcPr>
          <w:p w14:paraId="0A2354FE"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NO_SUMINISTRO_MEDICAMENTOS</w:t>
            </w:r>
          </w:p>
        </w:tc>
        <w:tc>
          <w:tcPr>
            <w:tcW w:w="747" w:type="pct"/>
            <w:noWrap/>
            <w:hideMark/>
          </w:tcPr>
          <w:p w14:paraId="08805025"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45</w:t>
            </w:r>
          </w:p>
        </w:tc>
        <w:tc>
          <w:tcPr>
            <w:tcW w:w="435" w:type="pct"/>
            <w:noWrap/>
            <w:hideMark/>
          </w:tcPr>
          <w:p w14:paraId="3D8F53F0"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17</w:t>
            </w:r>
          </w:p>
        </w:tc>
      </w:tr>
      <w:tr w:rsidR="00F81D98" w:rsidRPr="00363099" w14:paraId="5A7A1B71" w14:textId="77777777" w:rsidTr="00363099">
        <w:trPr>
          <w:trHeight w:val="630"/>
          <w:jc w:val="center"/>
        </w:trPr>
        <w:tc>
          <w:tcPr>
            <w:tcW w:w="3819" w:type="pct"/>
            <w:hideMark/>
          </w:tcPr>
          <w:p w14:paraId="4D5FB90F"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lastRenderedPageBreak/>
              <w:t>DIFICULTAD_ACCESIBILIDAD_ADMINISTRATIVA</w:t>
            </w:r>
          </w:p>
        </w:tc>
        <w:tc>
          <w:tcPr>
            <w:tcW w:w="747" w:type="pct"/>
            <w:noWrap/>
            <w:hideMark/>
          </w:tcPr>
          <w:p w14:paraId="6C4B5BC6"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9</w:t>
            </w:r>
          </w:p>
        </w:tc>
        <w:tc>
          <w:tcPr>
            <w:tcW w:w="435" w:type="pct"/>
            <w:noWrap/>
            <w:hideMark/>
          </w:tcPr>
          <w:p w14:paraId="220CA747"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3</w:t>
            </w:r>
          </w:p>
        </w:tc>
      </w:tr>
      <w:tr w:rsidR="00F81D98" w:rsidRPr="00363099" w14:paraId="2B149804" w14:textId="77777777" w:rsidTr="00363099">
        <w:trPr>
          <w:trHeight w:val="630"/>
          <w:jc w:val="center"/>
        </w:trPr>
        <w:tc>
          <w:tcPr>
            <w:tcW w:w="3819" w:type="pct"/>
            <w:hideMark/>
          </w:tcPr>
          <w:p w14:paraId="197BB74A"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INCONSISTENCIAS_SISTEMAS_DE_INFORMACIÓN_ASEGURAMIENTO</w:t>
            </w:r>
          </w:p>
        </w:tc>
        <w:tc>
          <w:tcPr>
            <w:tcW w:w="747" w:type="pct"/>
            <w:noWrap/>
            <w:hideMark/>
          </w:tcPr>
          <w:p w14:paraId="3A334150"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8</w:t>
            </w:r>
          </w:p>
        </w:tc>
        <w:tc>
          <w:tcPr>
            <w:tcW w:w="435" w:type="pct"/>
            <w:noWrap/>
            <w:hideMark/>
          </w:tcPr>
          <w:p w14:paraId="5B5D7313"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3</w:t>
            </w:r>
          </w:p>
        </w:tc>
      </w:tr>
      <w:tr w:rsidR="00F81D98" w:rsidRPr="00363099" w14:paraId="659B05E3" w14:textId="77777777" w:rsidTr="00363099">
        <w:trPr>
          <w:trHeight w:val="600"/>
          <w:jc w:val="center"/>
        </w:trPr>
        <w:tc>
          <w:tcPr>
            <w:tcW w:w="3819" w:type="pct"/>
            <w:hideMark/>
          </w:tcPr>
          <w:p w14:paraId="50188B72"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ESTUDIOS_INFORMES_Y_ESTADÍSTICAS</w:t>
            </w:r>
          </w:p>
        </w:tc>
        <w:tc>
          <w:tcPr>
            <w:tcW w:w="747" w:type="pct"/>
            <w:noWrap/>
            <w:hideMark/>
          </w:tcPr>
          <w:p w14:paraId="58AA84E1"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3</w:t>
            </w:r>
          </w:p>
        </w:tc>
        <w:tc>
          <w:tcPr>
            <w:tcW w:w="435" w:type="pct"/>
            <w:noWrap/>
            <w:hideMark/>
          </w:tcPr>
          <w:p w14:paraId="20B89E3B"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r>
      <w:tr w:rsidR="00F81D98" w:rsidRPr="00363099" w14:paraId="144C4B3E" w14:textId="77777777" w:rsidTr="00363099">
        <w:trPr>
          <w:trHeight w:val="450"/>
          <w:jc w:val="center"/>
        </w:trPr>
        <w:tc>
          <w:tcPr>
            <w:tcW w:w="3819" w:type="pct"/>
            <w:hideMark/>
          </w:tcPr>
          <w:p w14:paraId="073DC81C"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PROBLEMAS_RECURSOS_ECONÓMICOS</w:t>
            </w:r>
          </w:p>
        </w:tc>
        <w:tc>
          <w:tcPr>
            <w:tcW w:w="747" w:type="pct"/>
            <w:noWrap/>
            <w:hideMark/>
          </w:tcPr>
          <w:p w14:paraId="68328A33"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c>
          <w:tcPr>
            <w:tcW w:w="435" w:type="pct"/>
            <w:noWrap/>
            <w:hideMark/>
          </w:tcPr>
          <w:p w14:paraId="75ECB0EC"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0</w:t>
            </w:r>
          </w:p>
        </w:tc>
      </w:tr>
      <w:tr w:rsidR="00F81D98" w:rsidRPr="00363099" w14:paraId="30A986A1" w14:textId="77777777" w:rsidTr="00363099">
        <w:trPr>
          <w:trHeight w:val="315"/>
          <w:jc w:val="center"/>
        </w:trPr>
        <w:tc>
          <w:tcPr>
            <w:tcW w:w="3819" w:type="pct"/>
            <w:hideMark/>
          </w:tcPr>
          <w:p w14:paraId="4DEF4697"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NEGACIÓN_SERVICIOS</w:t>
            </w:r>
          </w:p>
        </w:tc>
        <w:tc>
          <w:tcPr>
            <w:tcW w:w="747" w:type="pct"/>
            <w:noWrap/>
            <w:hideMark/>
          </w:tcPr>
          <w:p w14:paraId="6F73EA1E"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c>
          <w:tcPr>
            <w:tcW w:w="435" w:type="pct"/>
            <w:noWrap/>
            <w:hideMark/>
          </w:tcPr>
          <w:p w14:paraId="4CE963E1"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0</w:t>
            </w:r>
          </w:p>
        </w:tc>
      </w:tr>
      <w:tr w:rsidR="00F81D98" w:rsidRPr="00363099" w14:paraId="20DD5BCE" w14:textId="77777777" w:rsidTr="00363099">
        <w:trPr>
          <w:trHeight w:val="315"/>
          <w:jc w:val="center"/>
        </w:trPr>
        <w:tc>
          <w:tcPr>
            <w:tcW w:w="3819" w:type="pct"/>
            <w:hideMark/>
          </w:tcPr>
          <w:p w14:paraId="729EAACC"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DIFICULTAD_ALTO_COSTO</w:t>
            </w:r>
          </w:p>
        </w:tc>
        <w:tc>
          <w:tcPr>
            <w:tcW w:w="747" w:type="pct"/>
            <w:noWrap/>
            <w:hideMark/>
          </w:tcPr>
          <w:p w14:paraId="4C0B4BEB"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c>
          <w:tcPr>
            <w:tcW w:w="435" w:type="pct"/>
            <w:noWrap/>
            <w:hideMark/>
          </w:tcPr>
          <w:p w14:paraId="686C614B"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0</w:t>
            </w:r>
          </w:p>
        </w:tc>
      </w:tr>
      <w:tr w:rsidR="00F81D98" w:rsidRPr="00363099" w14:paraId="4A5175AA" w14:textId="77777777" w:rsidTr="00363099">
        <w:trPr>
          <w:trHeight w:val="630"/>
          <w:jc w:val="center"/>
        </w:trPr>
        <w:tc>
          <w:tcPr>
            <w:tcW w:w="3819" w:type="pct"/>
            <w:hideMark/>
          </w:tcPr>
          <w:p w14:paraId="6717B457"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INCUMPLIMIENTO_PORTABILIDAD_NACIONAL</w:t>
            </w:r>
          </w:p>
        </w:tc>
        <w:tc>
          <w:tcPr>
            <w:tcW w:w="747" w:type="pct"/>
            <w:noWrap/>
            <w:hideMark/>
          </w:tcPr>
          <w:p w14:paraId="136E6AE3"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w:t>
            </w:r>
          </w:p>
        </w:tc>
        <w:tc>
          <w:tcPr>
            <w:tcW w:w="435" w:type="pct"/>
            <w:noWrap/>
            <w:hideMark/>
          </w:tcPr>
          <w:p w14:paraId="0E0754EB" w14:textId="77777777" w:rsidR="00F81D98" w:rsidRPr="00363099"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0</w:t>
            </w:r>
          </w:p>
        </w:tc>
      </w:tr>
      <w:tr w:rsidR="00F81D98" w:rsidRPr="006068A2" w14:paraId="0B35AB84" w14:textId="77777777" w:rsidTr="00363099">
        <w:trPr>
          <w:trHeight w:val="315"/>
          <w:jc w:val="center"/>
        </w:trPr>
        <w:tc>
          <w:tcPr>
            <w:tcW w:w="3819" w:type="pct"/>
            <w:hideMark/>
          </w:tcPr>
          <w:p w14:paraId="321BE0BD" w14:textId="77777777" w:rsidR="00F81D98" w:rsidRPr="00363099" w:rsidRDefault="00F81D98" w:rsidP="006068A2">
            <w:pPr>
              <w:spacing w:line="360" w:lineRule="auto"/>
              <w:jc w:val="both"/>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TOTAL</w:t>
            </w:r>
          </w:p>
        </w:tc>
        <w:tc>
          <w:tcPr>
            <w:tcW w:w="747" w:type="pct"/>
            <w:noWrap/>
            <w:hideMark/>
          </w:tcPr>
          <w:p w14:paraId="72896E4D" w14:textId="77777777" w:rsidR="00F81D98" w:rsidRPr="00363099" w:rsidRDefault="00F81D98" w:rsidP="00B34B33">
            <w:pPr>
              <w:spacing w:line="360" w:lineRule="auto"/>
              <w:jc w:val="center"/>
              <w:rPr>
                <w:rFonts w:ascii="Arial" w:hAnsi="Arial" w:cs="Arial"/>
                <w:b/>
                <w:bCs/>
                <w:kern w:val="0"/>
                <w:sz w:val="22"/>
                <w:szCs w:val="22"/>
                <w:lang w:eastAsia="es-CO"/>
                <w14:ligatures w14:val="none"/>
              </w:rPr>
            </w:pPr>
            <w:r w:rsidRPr="00363099">
              <w:rPr>
                <w:rFonts w:ascii="Arial" w:hAnsi="Arial" w:cs="Arial"/>
                <w:b/>
                <w:bCs/>
                <w:kern w:val="0"/>
                <w:sz w:val="22"/>
                <w:szCs w:val="22"/>
                <w:lang w:eastAsia="es-CO"/>
                <w14:ligatures w14:val="none"/>
              </w:rPr>
              <w:t>263</w:t>
            </w:r>
          </w:p>
        </w:tc>
        <w:tc>
          <w:tcPr>
            <w:tcW w:w="435" w:type="pct"/>
            <w:noWrap/>
            <w:hideMark/>
          </w:tcPr>
          <w:p w14:paraId="1D59704B" w14:textId="77777777" w:rsidR="00F81D98" w:rsidRPr="006068A2" w:rsidRDefault="00F81D98" w:rsidP="00B34B33">
            <w:pPr>
              <w:spacing w:line="360" w:lineRule="auto"/>
              <w:jc w:val="center"/>
              <w:rPr>
                <w:rFonts w:ascii="Arial" w:hAnsi="Arial" w:cs="Arial"/>
                <w:kern w:val="0"/>
                <w:sz w:val="22"/>
                <w:szCs w:val="22"/>
                <w:lang w:eastAsia="es-CO"/>
                <w14:ligatures w14:val="none"/>
              </w:rPr>
            </w:pPr>
            <w:r w:rsidRPr="00363099">
              <w:rPr>
                <w:rFonts w:ascii="Arial" w:hAnsi="Arial" w:cs="Arial"/>
                <w:kern w:val="0"/>
                <w:sz w:val="22"/>
                <w:szCs w:val="22"/>
                <w:lang w:eastAsia="es-CO"/>
                <w14:ligatures w14:val="none"/>
              </w:rPr>
              <w:t>100</w:t>
            </w:r>
          </w:p>
        </w:tc>
      </w:tr>
    </w:tbl>
    <w:p w14:paraId="25019842" w14:textId="48B839EC" w:rsidR="00F81D98" w:rsidRPr="00363099" w:rsidRDefault="00F81D98" w:rsidP="006068A2">
      <w:pPr>
        <w:spacing w:line="360" w:lineRule="auto"/>
        <w:jc w:val="both"/>
        <w:rPr>
          <w:rFonts w:ascii="Arial" w:hAnsi="Arial" w:cs="Arial"/>
          <w:b/>
          <w:bCs/>
          <w:sz w:val="22"/>
          <w:szCs w:val="22"/>
        </w:rPr>
      </w:pPr>
      <w:r w:rsidRPr="006068A2">
        <w:rPr>
          <w:rFonts w:ascii="Arial" w:hAnsi="Arial" w:cs="Arial"/>
          <w:b/>
          <w:bCs/>
          <w:sz w:val="22"/>
          <w:szCs w:val="22"/>
        </w:rPr>
        <w:fldChar w:fldCharType="end"/>
      </w:r>
      <w:r w:rsidRPr="00363099">
        <w:rPr>
          <w:rFonts w:ascii="Arial" w:hAnsi="Arial" w:cs="Arial"/>
          <w:sz w:val="16"/>
          <w:szCs w:val="16"/>
        </w:rPr>
        <w:t>Fuente: Base de datos Bogotá Te Escucha - Dirección de Aseguramiento y Garantía del Derecho a la Salud-2026.- Sistema de información para el Monitoreo del Acceso-SIDMA</w:t>
      </w:r>
    </w:p>
    <w:p w14:paraId="493AE362" w14:textId="77777777" w:rsidR="00F81D98" w:rsidRPr="006068A2" w:rsidRDefault="00F81D98" w:rsidP="006068A2">
      <w:pPr>
        <w:spacing w:line="360" w:lineRule="auto"/>
        <w:jc w:val="both"/>
        <w:rPr>
          <w:rFonts w:ascii="Arial" w:hAnsi="Arial" w:cs="Arial"/>
          <w:b/>
          <w:bCs/>
          <w:sz w:val="22"/>
          <w:szCs w:val="22"/>
        </w:rPr>
      </w:pPr>
    </w:p>
    <w:p w14:paraId="7DE74506"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El análisis evidencia que las barreras de acceso reportadas por los usuarios de COOSALUD EPS durante 2025 se concentraron de manera predominante en la no oportunidad en la prestación de servicios, categoría que acumuló 194 casos y representó el 74% del total de PQRS analizadas. Este resultado muestra que la principal afectación para la población afiliada estuvo relacionada con demoras en el acceso efectivo a la atención, lo que sugiere dificultades relevantes en la asignación de citas, disponibilidad de agendas, remisión a servicios especializados y capacidad de respuesta de la red prestadora.</w:t>
      </w:r>
    </w:p>
    <w:p w14:paraId="2C4FFA9B" w14:textId="77777777" w:rsidR="002535FF" w:rsidRPr="002535FF" w:rsidRDefault="002535FF" w:rsidP="002535FF">
      <w:pPr>
        <w:spacing w:line="360" w:lineRule="auto"/>
        <w:jc w:val="both"/>
        <w:rPr>
          <w:rFonts w:ascii="Arial" w:hAnsi="Arial" w:cs="Arial"/>
          <w:sz w:val="22"/>
          <w:szCs w:val="22"/>
        </w:rPr>
      </w:pPr>
    </w:p>
    <w:p w14:paraId="134DD6DE"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En segundo lugar, se identificó la categoría de no suministro de medicamentos, con 45 casos, equivalente al 17% del total. La magnitud de este hallazgo confirma que, además de las dificultades asociadas a la oportunidad de la atención, persisten barreras importantes en la entrega completa y oportuna de tecnologías en salud, situación que puede afectar la adherencia a tratamientos, la continuidad de la atención y el control clínico de patologías, especialmente en usuarios con enfermedades crónicas o condiciones que requieren manejo farmacológico permanente.</w:t>
      </w:r>
    </w:p>
    <w:p w14:paraId="2C38ABDC" w14:textId="77777777" w:rsidR="002535FF" w:rsidRPr="002535FF" w:rsidRDefault="002535FF" w:rsidP="002535FF">
      <w:pPr>
        <w:spacing w:line="360" w:lineRule="auto"/>
        <w:jc w:val="both"/>
        <w:rPr>
          <w:rFonts w:ascii="Arial" w:hAnsi="Arial" w:cs="Arial"/>
          <w:sz w:val="22"/>
          <w:szCs w:val="22"/>
        </w:rPr>
      </w:pPr>
    </w:p>
    <w:p w14:paraId="1525ED04"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 xml:space="preserve">Por su parte, las barreras asociadas a dificultades de accesibilidad administrativa y a inconsistencias en los sistemas de información del aseguramiento representaron cada una </w:t>
      </w:r>
      <w:r w:rsidRPr="002535FF">
        <w:rPr>
          <w:rFonts w:ascii="Arial" w:hAnsi="Arial" w:cs="Arial"/>
          <w:sz w:val="22"/>
          <w:szCs w:val="22"/>
        </w:rPr>
        <w:lastRenderedPageBreak/>
        <w:t>el 3% de las manifestaciones, lo que indica que una proporción menor, pero relevante, de las inconformidades estuvo vinculada con trámites, validaciones, errores en registros o problemas administrativos que pueden obstaculizar el acceso a servicios ya autorizados o requeridos por los usuarios. Aunque estas categorías presentan menor frecuencia, su impacto puede ser significativo en términos de demoras, reprocesos y afectación de la experiencia de atención.</w:t>
      </w:r>
    </w:p>
    <w:p w14:paraId="6B0280FA" w14:textId="77777777" w:rsidR="002535FF" w:rsidRPr="002535FF" w:rsidRDefault="002535FF" w:rsidP="002535FF">
      <w:pPr>
        <w:spacing w:line="360" w:lineRule="auto"/>
        <w:jc w:val="both"/>
        <w:rPr>
          <w:rFonts w:ascii="Arial" w:hAnsi="Arial" w:cs="Arial"/>
          <w:sz w:val="22"/>
          <w:szCs w:val="22"/>
        </w:rPr>
      </w:pPr>
    </w:p>
    <w:p w14:paraId="5A1ADE72"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Las demás categorías —estudios, informes y estadísticas, problemas de recursos económicos, negación de servicios, dificultad en alto costo e incumplimiento de portabilidad nacional— registraron una participación marginal dentro del total de casos. No obstante, su baja frecuencia no reduce su importancia, dado que corresponden a situaciones que pueden involucrar afectaciones individuales de alta sensibilidad y que, por su naturaleza, requieren seguimiento específico y abordaje oportuno por parte de la EPS y de la autoridad territorial.</w:t>
      </w:r>
    </w:p>
    <w:p w14:paraId="53D49D58" w14:textId="77777777" w:rsidR="002535FF" w:rsidRPr="002535FF" w:rsidRDefault="002535FF" w:rsidP="002535FF">
      <w:pPr>
        <w:spacing w:line="360" w:lineRule="auto"/>
        <w:jc w:val="both"/>
        <w:rPr>
          <w:rFonts w:ascii="Arial" w:hAnsi="Arial" w:cs="Arial"/>
          <w:sz w:val="22"/>
          <w:szCs w:val="22"/>
        </w:rPr>
      </w:pPr>
    </w:p>
    <w:p w14:paraId="1EA52252" w14:textId="77777777" w:rsidR="002535FF" w:rsidRPr="002535FF" w:rsidRDefault="002535FF" w:rsidP="002535FF">
      <w:pPr>
        <w:spacing w:line="360" w:lineRule="auto"/>
        <w:jc w:val="both"/>
        <w:rPr>
          <w:rFonts w:ascii="Arial" w:hAnsi="Arial" w:cs="Arial"/>
          <w:sz w:val="22"/>
          <w:szCs w:val="22"/>
        </w:rPr>
      </w:pPr>
      <w:r w:rsidRPr="002535FF">
        <w:rPr>
          <w:rFonts w:ascii="Arial" w:hAnsi="Arial" w:cs="Arial"/>
          <w:sz w:val="22"/>
          <w:szCs w:val="22"/>
        </w:rPr>
        <w:t>En conjunto, los resultados muestran que las principales barreras de acceso en COOSALUD EPS durante 2025 estuvieron asociadas a problemas de oportunidad en la prestación y suministro de medicamentos, categorías que en conjunto concentraron el 91% de las manifestaciones analizadas. Este comportamiento sugiere que las dificultades de acceso no obedecen a eventos aislados, sino a problemas recurrentes en componentes esenciales de la operación del aseguramiento y de la articulación con la red de prestación de servicios de salud.</w:t>
      </w:r>
    </w:p>
    <w:p w14:paraId="4022661A" w14:textId="77777777" w:rsidR="002535FF" w:rsidRPr="002535FF" w:rsidRDefault="002535FF" w:rsidP="002535FF">
      <w:pPr>
        <w:spacing w:line="360" w:lineRule="auto"/>
        <w:jc w:val="both"/>
        <w:rPr>
          <w:rFonts w:ascii="Arial" w:hAnsi="Arial" w:cs="Arial"/>
          <w:sz w:val="22"/>
          <w:szCs w:val="22"/>
        </w:rPr>
      </w:pPr>
    </w:p>
    <w:p w14:paraId="3AF62720" w14:textId="02B3C3C6" w:rsidR="00F81D98" w:rsidRDefault="002535FF" w:rsidP="002535FF">
      <w:pPr>
        <w:spacing w:line="360" w:lineRule="auto"/>
        <w:jc w:val="both"/>
        <w:rPr>
          <w:rFonts w:ascii="Arial" w:hAnsi="Arial" w:cs="Arial"/>
          <w:sz w:val="22"/>
          <w:szCs w:val="22"/>
        </w:rPr>
      </w:pPr>
      <w:r w:rsidRPr="002535FF">
        <w:rPr>
          <w:rFonts w:ascii="Arial" w:hAnsi="Arial" w:cs="Arial"/>
          <w:sz w:val="22"/>
          <w:szCs w:val="22"/>
        </w:rPr>
        <w:t>Desde una perspectiva de seguimiento institucional, este patrón de barreras resulta especialmente relevante, en la medida en que afecta dimensiones críticas de la garantía del derecho a la salud, como la oportunidad, la continuidad y la integralidad de la atención. En consecuencia, estos hallazgos justifican la priorización de acciones de inspección, vigilancia y seguimiento sobre la gestión de agendas, la suficiencia de red, la oportunidad en autorizaciones, la dispensación de medicamentos y los procesos administrativos que puedan estar generando retrasos o interrupciones en la atención de la población afiliada.</w:t>
      </w:r>
    </w:p>
    <w:p w14:paraId="15181815" w14:textId="77777777" w:rsidR="002535FF" w:rsidRPr="006068A2" w:rsidRDefault="002535FF" w:rsidP="002535FF">
      <w:pPr>
        <w:spacing w:line="360" w:lineRule="auto"/>
        <w:jc w:val="both"/>
        <w:rPr>
          <w:rFonts w:ascii="Arial" w:hAnsi="Arial" w:cs="Arial"/>
          <w:b/>
          <w:bCs/>
          <w:sz w:val="22"/>
          <w:szCs w:val="22"/>
        </w:rPr>
      </w:pPr>
    </w:p>
    <w:p w14:paraId="60E019DE" w14:textId="4C0F7000" w:rsidR="00F81D98" w:rsidRPr="00A67640" w:rsidRDefault="00A67640" w:rsidP="00A67640">
      <w:pPr>
        <w:pStyle w:val="Ttulo2"/>
        <w:numPr>
          <w:ilvl w:val="1"/>
          <w:numId w:val="9"/>
        </w:numPr>
        <w:spacing w:before="0" w:line="360" w:lineRule="auto"/>
        <w:jc w:val="both"/>
        <w:rPr>
          <w:rFonts w:ascii="Arial" w:eastAsia="Arial" w:hAnsi="Arial" w:cs="Arial"/>
          <w:b/>
          <w:bCs/>
          <w:color w:val="auto"/>
          <w:sz w:val="22"/>
          <w:szCs w:val="22"/>
        </w:rPr>
      </w:pPr>
      <w:bookmarkStart w:id="36" w:name="_Toc229397842"/>
      <w:r w:rsidRPr="00A67640">
        <w:rPr>
          <w:rFonts w:ascii="Arial" w:eastAsia="Arial" w:hAnsi="Arial" w:cs="Arial"/>
          <w:b/>
          <w:bCs/>
          <w:color w:val="auto"/>
          <w:sz w:val="22"/>
          <w:szCs w:val="22"/>
        </w:rPr>
        <w:t xml:space="preserve">Pendientes de respuesta 2025 </w:t>
      </w:r>
      <w:r w:rsidR="00F81D98" w:rsidRPr="00A67640">
        <w:rPr>
          <w:rFonts w:ascii="Arial" w:eastAsia="Arial" w:hAnsi="Arial" w:cs="Arial"/>
          <w:b/>
          <w:bCs/>
          <w:color w:val="auto"/>
          <w:sz w:val="22"/>
          <w:szCs w:val="22"/>
        </w:rPr>
        <w:t>EPS COOSALUD</w:t>
      </w:r>
      <w:bookmarkEnd w:id="36"/>
    </w:p>
    <w:p w14:paraId="2D82CDD9" w14:textId="77777777" w:rsidR="00F81D98" w:rsidRDefault="00F81D98" w:rsidP="006068A2">
      <w:pPr>
        <w:spacing w:line="360" w:lineRule="auto"/>
        <w:jc w:val="both"/>
        <w:rPr>
          <w:rFonts w:ascii="Arial" w:hAnsi="Arial" w:cs="Arial"/>
          <w:sz w:val="22"/>
          <w:szCs w:val="22"/>
        </w:rPr>
      </w:pPr>
    </w:p>
    <w:p w14:paraId="7E4CEC6D" w14:textId="77777777" w:rsidR="00382BC1" w:rsidRPr="00382BC1" w:rsidRDefault="00382BC1" w:rsidP="00382BC1">
      <w:pPr>
        <w:spacing w:line="360" w:lineRule="auto"/>
        <w:jc w:val="both"/>
        <w:rPr>
          <w:rFonts w:ascii="Arial" w:hAnsi="Arial" w:cs="Arial"/>
          <w:sz w:val="22"/>
          <w:szCs w:val="22"/>
        </w:rPr>
      </w:pPr>
      <w:r w:rsidRPr="00382BC1">
        <w:rPr>
          <w:rFonts w:ascii="Arial" w:hAnsi="Arial" w:cs="Arial"/>
          <w:sz w:val="22"/>
          <w:szCs w:val="22"/>
        </w:rPr>
        <w:lastRenderedPageBreak/>
        <w:t>En relación con el estado de respuesta de las PQRS trasladadas por competencia a COOSALUD EPS, se identificó que, del total de 263 manifestaciones gestionadas durante la vigencia 2025, una permanecía sin respuesta de fondo al momento del corte del análisis. Esta situación fue presentada en mesa de trabajo con la entidad, con el fin de requerir su gestión y cierre oportuno.</w:t>
      </w:r>
    </w:p>
    <w:p w14:paraId="681705CF" w14:textId="77777777" w:rsidR="00382BC1" w:rsidRPr="00382BC1" w:rsidRDefault="00382BC1" w:rsidP="00382BC1">
      <w:pPr>
        <w:spacing w:line="360" w:lineRule="auto"/>
        <w:jc w:val="both"/>
        <w:rPr>
          <w:rFonts w:ascii="Arial" w:hAnsi="Arial" w:cs="Arial"/>
          <w:sz w:val="22"/>
          <w:szCs w:val="22"/>
        </w:rPr>
      </w:pPr>
    </w:p>
    <w:p w14:paraId="5091D0FB" w14:textId="5646CBE9" w:rsidR="00382BC1" w:rsidRPr="00382BC1" w:rsidRDefault="00382BC1" w:rsidP="00382BC1">
      <w:pPr>
        <w:spacing w:line="360" w:lineRule="auto"/>
        <w:jc w:val="both"/>
        <w:rPr>
          <w:rFonts w:ascii="Arial" w:hAnsi="Arial" w:cs="Arial"/>
          <w:sz w:val="22"/>
          <w:szCs w:val="22"/>
        </w:rPr>
      </w:pPr>
      <w:r w:rsidRPr="00382BC1">
        <w:rPr>
          <w:rFonts w:ascii="Arial" w:hAnsi="Arial" w:cs="Arial"/>
          <w:sz w:val="22"/>
          <w:szCs w:val="22"/>
        </w:rPr>
        <w:t>Si bien el número de casos pendientes es bajo en términos absolutos, su existencia evidencia la necesidad de mantener seguimiento sobre la trazabilidad y cierre efectivo de las manifestaciones ciudadanas, dado que toda falta de respuesta de fondo puede afectar la confianza del usuario en los mecanismos institucionales de atención y prolongar la persistencia de las barreras de acceso reportadas.</w:t>
      </w:r>
    </w:p>
    <w:p w14:paraId="675ED69B" w14:textId="77777777" w:rsidR="006203BE" w:rsidRPr="006068A2" w:rsidRDefault="006203BE" w:rsidP="006068A2">
      <w:pPr>
        <w:spacing w:line="360" w:lineRule="auto"/>
        <w:jc w:val="both"/>
        <w:rPr>
          <w:rFonts w:ascii="Arial" w:hAnsi="Arial" w:cs="Arial"/>
          <w:b/>
          <w:bCs/>
          <w:sz w:val="22"/>
          <w:szCs w:val="22"/>
        </w:rPr>
      </w:pPr>
    </w:p>
    <w:p w14:paraId="4ED91395" w14:textId="486C64BD" w:rsidR="000C4AE0" w:rsidRPr="006068A2" w:rsidRDefault="00B73EA3" w:rsidP="006068A2">
      <w:pPr>
        <w:pStyle w:val="Ttulo1"/>
        <w:numPr>
          <w:ilvl w:val="0"/>
          <w:numId w:val="9"/>
        </w:numPr>
        <w:spacing w:before="0" w:line="360" w:lineRule="auto"/>
        <w:jc w:val="both"/>
        <w:rPr>
          <w:rFonts w:ascii="Arial" w:hAnsi="Arial" w:cs="Arial"/>
          <w:b/>
          <w:bCs/>
          <w:color w:val="auto"/>
          <w:sz w:val="22"/>
          <w:szCs w:val="22"/>
          <w:lang w:val="es-ES"/>
        </w:rPr>
      </w:pPr>
      <w:bookmarkStart w:id="37" w:name="_Toc229397843"/>
      <w:r w:rsidRPr="006068A2">
        <w:rPr>
          <w:rFonts w:ascii="Arial" w:hAnsi="Arial" w:cs="Arial"/>
          <w:b/>
          <w:bCs/>
          <w:color w:val="auto"/>
          <w:sz w:val="22"/>
          <w:szCs w:val="22"/>
          <w:lang w:val="es-ES"/>
        </w:rPr>
        <w:t>RESULTADOS EN SALUD Y GESTIÓN DEL RIESGO</w:t>
      </w:r>
      <w:bookmarkEnd w:id="37"/>
    </w:p>
    <w:p w14:paraId="6F35F012" w14:textId="19DB6514" w:rsidR="382B01F5" w:rsidRPr="006068A2" w:rsidRDefault="382B01F5" w:rsidP="006068A2">
      <w:pPr>
        <w:spacing w:line="360" w:lineRule="auto"/>
        <w:jc w:val="both"/>
        <w:rPr>
          <w:rFonts w:ascii="Arial" w:hAnsi="Arial" w:cs="Arial"/>
          <w:sz w:val="22"/>
          <w:szCs w:val="22"/>
        </w:rPr>
      </w:pPr>
    </w:p>
    <w:p w14:paraId="0B4E9B0A" w14:textId="2121A737" w:rsidR="000C4AE0" w:rsidRPr="006068A2" w:rsidRDefault="401FC128" w:rsidP="006068A2">
      <w:pPr>
        <w:pStyle w:val="Ttulo2"/>
        <w:numPr>
          <w:ilvl w:val="1"/>
          <w:numId w:val="9"/>
        </w:numPr>
        <w:spacing w:before="0" w:line="360" w:lineRule="auto"/>
        <w:jc w:val="both"/>
        <w:rPr>
          <w:rFonts w:ascii="Arial" w:hAnsi="Arial" w:cs="Arial"/>
          <w:b/>
          <w:bCs/>
          <w:color w:val="auto"/>
          <w:sz w:val="22"/>
          <w:szCs w:val="22"/>
        </w:rPr>
      </w:pPr>
      <w:bookmarkStart w:id="38" w:name="OLE_LINK10"/>
      <w:bookmarkStart w:id="39" w:name="_Toc229397844"/>
      <w:r w:rsidRPr="006068A2">
        <w:rPr>
          <w:rFonts w:ascii="Arial" w:hAnsi="Arial" w:cs="Arial"/>
          <w:b/>
          <w:bCs/>
          <w:color w:val="auto"/>
          <w:sz w:val="22"/>
          <w:szCs w:val="22"/>
        </w:rPr>
        <w:t>Mortalidad materna</w:t>
      </w:r>
      <w:bookmarkEnd w:id="39"/>
    </w:p>
    <w:bookmarkEnd w:id="38"/>
    <w:p w14:paraId="76612470" w14:textId="2E580799" w:rsidR="54F34D23" w:rsidRPr="006068A2" w:rsidRDefault="54F34D23" w:rsidP="006068A2">
      <w:pPr>
        <w:spacing w:line="360" w:lineRule="auto"/>
        <w:jc w:val="both"/>
        <w:rPr>
          <w:rFonts w:ascii="Arial" w:hAnsi="Arial" w:cs="Arial"/>
          <w:sz w:val="22"/>
          <w:szCs w:val="22"/>
        </w:rPr>
      </w:pPr>
    </w:p>
    <w:p w14:paraId="285F9471"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t xml:space="preserve">Según el reporte epidemiológico con corte a diciembre de 2025, la EAPB COOSALUD no presentó eventos de mortalidad materna. No obstante, en cumplimiento de la normatividad vigente y en ejercicio de las competencias asignadas a la Entidad Territorial, el equipo de Inspección, Vigilancia y Seguimiento de la Subdirección de Garantía del Aseguramiento realizó auditorías a la entidad durante la vigencia 2025, con el fin de verificar el cumplimiento de las obligaciones relacionadas con la gestión del riesgo en salud en el subcomponente materno perinatal. Estas acciones se desarrollaron conforme a los criterios y la metodología definidos en el Programa de Auditoría a las Entidades Administradoras de Planes de Beneficios (EAPB) / Empresas Promotoras de Salud (EPS) de los regímenes subsidiado, contributivo y exceptuado que operan en Bogotá D. C. </w:t>
      </w:r>
    </w:p>
    <w:p w14:paraId="4004012B" w14:textId="77777777" w:rsidR="00920531" w:rsidRPr="00920531" w:rsidRDefault="00920531" w:rsidP="00920531">
      <w:pPr>
        <w:spacing w:line="360" w:lineRule="auto"/>
        <w:jc w:val="both"/>
        <w:rPr>
          <w:rFonts w:ascii="Arial" w:hAnsi="Arial" w:cs="Arial"/>
          <w:sz w:val="22"/>
          <w:szCs w:val="22"/>
        </w:rPr>
      </w:pPr>
    </w:p>
    <w:p w14:paraId="75CE7A9B"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t xml:space="preserve">En primer lugar, se llevó a cabo auditoría IVS entre el 14 y el 18 de julio de 2025, en modalidad presencial, al componente de Gestión del Riesgo en Salud, subcomponente materno perinatal, correspondiente al segundo semestre de 2024 y al primer semestre de 2025. De acuerdo con el acta suscrita por las partes y obrante en el archivo de la Entidad Territorial, COOSALUD no presentó la documentación solicitada por el ente territorial ni dispuso de un referente para sustentarla, razón por la cual no fue posible desarrollar la </w:t>
      </w:r>
      <w:r w:rsidRPr="00920531">
        <w:rPr>
          <w:rFonts w:ascii="Arial" w:hAnsi="Arial" w:cs="Arial"/>
          <w:sz w:val="22"/>
          <w:szCs w:val="22"/>
        </w:rPr>
        <w:lastRenderedPageBreak/>
        <w:t xml:space="preserve">auditoría de este subcomponente. Como resultado, se generó el hallazgo según el cual la entidad no demostró los soportes que garantizaran las intervenciones individuales de la Ruta Integral de Atención Materno Perinatal (RIAMP). </w:t>
      </w:r>
    </w:p>
    <w:p w14:paraId="43678E47" w14:textId="77777777" w:rsidR="00920531" w:rsidRPr="00920531" w:rsidRDefault="00920531" w:rsidP="00920531">
      <w:pPr>
        <w:spacing w:line="360" w:lineRule="auto"/>
        <w:jc w:val="both"/>
        <w:rPr>
          <w:rFonts w:ascii="Arial" w:hAnsi="Arial" w:cs="Arial"/>
          <w:sz w:val="22"/>
          <w:szCs w:val="22"/>
        </w:rPr>
      </w:pPr>
    </w:p>
    <w:p w14:paraId="0D42780F"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t>En segundo lugar, se desarrolló auditoría GAUDI del 8 al 12 de septiembre de 2025, correspondiente al primer semestre de 2025, en el marco de las Circulares 001 de 2020 y 046-5 de 2022 de la Superintendencia Nacional de Salud y de la Guía de Inspección y Vigilancia del Aseguramiento y Prestación de las Entidades Territoriales – GAUDI V5. En esta auditoría se evaluó el estándar correspondiente a la Ruta Integral de Atención Materno Perinatal, específicamente los criterios relacionados con gestación, atención del parto y puerperio, y atención para el cuidado y seguimiento del recién nacido. Entre los aspectos revisados se incluyeron exámenes de laboratorio en el control prenatal, formulación y entrega de micronutrientes, clasificación del riesgo gestacional y de preeclampsia, esquema de vacunación y definición del plan de parto.</w:t>
      </w:r>
    </w:p>
    <w:p w14:paraId="0312C299" w14:textId="77777777" w:rsidR="00920531" w:rsidRPr="00920531" w:rsidRDefault="00920531" w:rsidP="00920531">
      <w:pPr>
        <w:spacing w:line="360" w:lineRule="auto"/>
        <w:jc w:val="both"/>
        <w:rPr>
          <w:rFonts w:ascii="Arial" w:hAnsi="Arial" w:cs="Arial"/>
          <w:sz w:val="22"/>
          <w:szCs w:val="22"/>
        </w:rPr>
      </w:pPr>
    </w:p>
    <w:p w14:paraId="4A0492B8"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t xml:space="preserve">Durante la verificación, se confrontó la cohorte de gestantes reportada por la Secretaría Distrital de Salud con la cohorte presentada por COOSALUD, identificándose inconsistencias que afectaban la exactitud y coherencia entre ambas fuentes. En particular, la cohorte entregada por la EPS no contenía variables fundamentales para el seguimiento, tales como fecha de ingreso al control prenatal, edad gestacional al ingreso, fecha probable de parto ni variables relacionadas con intervenciones individuales durante la gestación, lo que impidió su validación. Adicionalmente, no se evidenció indicador de proporción de gestantes ni seguimiento al mismo. </w:t>
      </w:r>
    </w:p>
    <w:p w14:paraId="228DEC4C" w14:textId="77777777" w:rsidR="00920531" w:rsidRPr="00920531" w:rsidRDefault="00920531" w:rsidP="00920531">
      <w:pPr>
        <w:spacing w:line="360" w:lineRule="auto"/>
        <w:jc w:val="both"/>
        <w:rPr>
          <w:rFonts w:ascii="Arial" w:hAnsi="Arial" w:cs="Arial"/>
          <w:sz w:val="22"/>
          <w:szCs w:val="22"/>
        </w:rPr>
      </w:pPr>
    </w:p>
    <w:p w14:paraId="2C7D6A52"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t xml:space="preserve">De manera similar, en la revisión de la base de recién nacidos reportada por la Secretaría Distrital de Salud para el periodo enero-junio de 2025, se solicitó a la EPS la proporción de nacidos vivos y la base nominal correspondiente, con el fin de contrastar la información con la fuente oficial. Sin embargo, la entidad no reportó la información requerida, lo que impidió evaluar con suficiencia la exactitud y coherencia de los criterios auditados. Asimismo, al revisar las plantillas asociadas a los criterios evaluados, se evidenciaron inconsistencias entre la información contenida en las cohortes y lo registrado en dichos formatos, incluyendo diferencias en el número total de nacidos vivos. </w:t>
      </w:r>
    </w:p>
    <w:p w14:paraId="713ACC38" w14:textId="77777777" w:rsidR="00920531" w:rsidRPr="00920531" w:rsidRDefault="00920531" w:rsidP="00920531">
      <w:pPr>
        <w:spacing w:line="360" w:lineRule="auto"/>
        <w:jc w:val="both"/>
        <w:rPr>
          <w:rFonts w:ascii="Arial" w:hAnsi="Arial" w:cs="Arial"/>
          <w:sz w:val="22"/>
          <w:szCs w:val="22"/>
        </w:rPr>
      </w:pPr>
    </w:p>
    <w:p w14:paraId="62649E95" w14:textId="77777777" w:rsidR="00920531" w:rsidRPr="00920531" w:rsidRDefault="00920531" w:rsidP="00920531">
      <w:pPr>
        <w:spacing w:line="360" w:lineRule="auto"/>
        <w:jc w:val="both"/>
        <w:rPr>
          <w:rFonts w:ascii="Arial" w:hAnsi="Arial" w:cs="Arial"/>
          <w:sz w:val="22"/>
          <w:szCs w:val="22"/>
        </w:rPr>
      </w:pPr>
      <w:r w:rsidRPr="00920531">
        <w:rPr>
          <w:rFonts w:ascii="Arial" w:hAnsi="Arial" w:cs="Arial"/>
          <w:sz w:val="22"/>
          <w:szCs w:val="22"/>
        </w:rPr>
        <w:lastRenderedPageBreak/>
        <w:t>En conjunto, los hallazgos derivados de las auditorías IVS y GAUDI evidencian debilidades relevantes en la capacidad de COOSALUD para demostrar, mediante soportes verificables y bases de datos consistentes, el cumplimiento de las intervenciones individuales de la Ruta Integral de Atención Materno Perinatal. Aunque no se reportaron eventos de mortalidad materna durante la vigencia analizada, la ausencia de documentación, las inconsistencias en las cohortes y la falta de información clave para el seguimiento limitan la trazabilidad del riesgo y afectan la capacidad de la entidad para sustentar la gestión efectiva del subcomponente materno perinatal. En este sentido, la situación observada constituye una señal de alerta para el seguimiento territorial, en la medida en que compromete la verificación del cumplimiento de las acciones de promoción, prevención, atención y seguimiento dirigidas a gestantes y recién nacidos.</w:t>
      </w:r>
    </w:p>
    <w:p w14:paraId="25002E8C" w14:textId="37479806" w:rsidR="00312A09" w:rsidRPr="006068A2" w:rsidRDefault="00312A09" w:rsidP="006068A2">
      <w:pPr>
        <w:spacing w:line="360" w:lineRule="auto"/>
        <w:jc w:val="both"/>
        <w:rPr>
          <w:rFonts w:ascii="Arial" w:hAnsi="Arial" w:cs="Arial"/>
          <w:sz w:val="22"/>
          <w:szCs w:val="22"/>
        </w:rPr>
      </w:pPr>
    </w:p>
    <w:p w14:paraId="35A25EAB" w14:textId="0198FD94" w:rsidR="000F7BB0" w:rsidRPr="006068A2" w:rsidRDefault="000E37D2" w:rsidP="006068A2">
      <w:pPr>
        <w:pStyle w:val="Ttulo2"/>
        <w:numPr>
          <w:ilvl w:val="1"/>
          <w:numId w:val="9"/>
        </w:numPr>
        <w:spacing w:before="0" w:line="360" w:lineRule="auto"/>
        <w:jc w:val="both"/>
        <w:rPr>
          <w:rFonts w:ascii="Arial" w:hAnsi="Arial" w:cs="Arial"/>
          <w:b/>
          <w:bCs/>
          <w:color w:val="000000" w:themeColor="text1"/>
          <w:kern w:val="2"/>
          <w:sz w:val="22"/>
          <w:szCs w:val="22"/>
          <w:lang w:val="es-ES_tradnl" w:eastAsia="en-US"/>
          <w14:ligatures w14:val="standardContextual"/>
        </w:rPr>
      </w:pPr>
      <w:bookmarkStart w:id="40" w:name="_Toc229397845"/>
      <w:r w:rsidRPr="006068A2">
        <w:rPr>
          <w:rFonts w:ascii="Arial" w:hAnsi="Arial" w:cs="Arial"/>
          <w:b/>
          <w:bCs/>
          <w:color w:val="000000" w:themeColor="text1"/>
          <w:sz w:val="22"/>
          <w:szCs w:val="22"/>
        </w:rPr>
        <w:t>Mortalidad Infantil</w:t>
      </w:r>
      <w:bookmarkEnd w:id="40"/>
      <w:r w:rsidRPr="006068A2">
        <w:rPr>
          <w:rFonts w:ascii="Arial" w:hAnsi="Arial" w:cs="Arial"/>
          <w:b/>
          <w:bCs/>
          <w:color w:val="000000" w:themeColor="text1"/>
          <w:sz w:val="22"/>
          <w:szCs w:val="22"/>
        </w:rPr>
        <w:t> </w:t>
      </w:r>
    </w:p>
    <w:p w14:paraId="2F90BD6B" w14:textId="77777777" w:rsidR="000E37D2" w:rsidRPr="006068A2" w:rsidRDefault="000E37D2" w:rsidP="006068A2">
      <w:pPr>
        <w:spacing w:line="360" w:lineRule="auto"/>
        <w:jc w:val="both"/>
        <w:rPr>
          <w:rFonts w:ascii="Arial" w:hAnsi="Arial" w:cs="Arial"/>
          <w:sz w:val="22"/>
          <w:szCs w:val="22"/>
        </w:rPr>
      </w:pPr>
    </w:p>
    <w:p w14:paraId="1FFB606A" w14:textId="77777777" w:rsidR="0019510E" w:rsidRPr="0019510E" w:rsidRDefault="0019510E" w:rsidP="0019510E">
      <w:pPr>
        <w:pStyle w:val="Prrafodelista"/>
        <w:spacing w:line="360" w:lineRule="auto"/>
        <w:ind w:left="0"/>
        <w:jc w:val="both"/>
        <w:rPr>
          <w:rFonts w:ascii="Arial" w:hAnsi="Arial" w:cs="Arial"/>
          <w:bCs/>
          <w:color w:val="000000" w:themeColor="text1"/>
          <w:sz w:val="22"/>
          <w:szCs w:val="22"/>
          <w:lang w:val="es-MX"/>
        </w:rPr>
      </w:pPr>
      <w:r w:rsidRPr="0019510E">
        <w:rPr>
          <w:rFonts w:ascii="Arial" w:hAnsi="Arial" w:cs="Arial"/>
          <w:bCs/>
          <w:color w:val="000000" w:themeColor="text1"/>
          <w:sz w:val="22"/>
          <w:szCs w:val="22"/>
          <w:lang w:val="es-MX"/>
        </w:rPr>
        <w:t>Con base en la información preliminar disponible para el periodo enero–diciembre de 2025, en la población atribuida a COOSALUD EPS en Bogotá D. C. se registraron 4 casos de mortalidad infantil. Tomando como referencia los 56.541 nacimientos considerados en la base analizada, la tasa observada corresponde a 0,07 por 1.000 nacidos vivos, lo que indica una baja magnitud del evento en términos absolutos. No obstante, dado el reducido número de casos, la interpretación del indicador debe realizarse con cautela, ya que pequeñas variaciones en la frecuencia del evento pueden producir cambios importantes en las tasas, especialmente cuando se desagregan por territorio.</w:t>
      </w:r>
    </w:p>
    <w:p w14:paraId="09AE8C9E" w14:textId="77777777" w:rsidR="0019510E" w:rsidRPr="0019510E" w:rsidRDefault="0019510E" w:rsidP="0019510E">
      <w:pPr>
        <w:pStyle w:val="Prrafodelista"/>
        <w:spacing w:line="360" w:lineRule="auto"/>
        <w:ind w:left="0"/>
        <w:jc w:val="both"/>
        <w:rPr>
          <w:rFonts w:ascii="Arial" w:hAnsi="Arial" w:cs="Arial"/>
          <w:bCs/>
          <w:color w:val="000000" w:themeColor="text1"/>
          <w:sz w:val="22"/>
          <w:szCs w:val="22"/>
          <w:lang w:val="es-MX"/>
        </w:rPr>
      </w:pPr>
    </w:p>
    <w:p w14:paraId="0624540F" w14:textId="08552F2B" w:rsidR="008F2446" w:rsidRDefault="0019510E" w:rsidP="0019510E">
      <w:pPr>
        <w:pStyle w:val="Prrafodelista"/>
        <w:spacing w:line="360" w:lineRule="auto"/>
        <w:ind w:left="0"/>
        <w:jc w:val="both"/>
        <w:rPr>
          <w:rFonts w:ascii="Arial" w:hAnsi="Arial" w:cs="Arial"/>
          <w:bCs/>
          <w:color w:val="000000" w:themeColor="text1"/>
          <w:sz w:val="22"/>
          <w:szCs w:val="22"/>
          <w:lang w:val="es-MX"/>
        </w:rPr>
      </w:pPr>
      <w:r w:rsidRPr="0019510E">
        <w:rPr>
          <w:rFonts w:ascii="Arial" w:hAnsi="Arial" w:cs="Arial"/>
          <w:bCs/>
          <w:color w:val="000000" w:themeColor="text1"/>
          <w:sz w:val="22"/>
          <w:szCs w:val="22"/>
          <w:lang w:val="es-MX"/>
        </w:rPr>
        <w:t>Desde la perspectiva territorial, los casos se concentraron en las localidades de Bosa, con 2 casos y una tasa de 0,35 por 1.000 nacidos vivos; Usme, con 1 caso y una tasa de 0,33; y Ciudad Bolívar, con 1 caso y una tasa de 0,17. En las demás localidades no se reportaron eventos durante el periodo analizado, aun cuando algunas registraron un volumen importante de nacimientos, como Suba, Kennedy y Engativá. Esta distribución sugiere la necesidad de fortalecer el seguimiento a la cohorte materno-perinatal y profundizar el análisis territorial en localidades con mayores condiciones de vulnerabilidad social, con el fin de identificar factores de riesgo, brechas en la atención y oportunidades de mejora en la atención materna y neonatal.</w:t>
      </w:r>
    </w:p>
    <w:p w14:paraId="457D06C2" w14:textId="77777777" w:rsidR="0019510E" w:rsidRPr="006068A2" w:rsidRDefault="0019510E" w:rsidP="00C92643">
      <w:pPr>
        <w:pStyle w:val="Prrafodelista"/>
        <w:spacing w:line="360" w:lineRule="auto"/>
        <w:jc w:val="both"/>
        <w:rPr>
          <w:rFonts w:ascii="Arial" w:hAnsi="Arial" w:cs="Arial"/>
          <w:bCs/>
          <w:color w:val="000000" w:themeColor="text1"/>
          <w:sz w:val="22"/>
          <w:szCs w:val="22"/>
          <w:lang w:val="es-MX"/>
        </w:rPr>
      </w:pPr>
    </w:p>
    <w:p w14:paraId="76736685" w14:textId="502A94A4" w:rsidR="008F2446" w:rsidRPr="006068A2" w:rsidRDefault="00FA5AF7" w:rsidP="00C92643">
      <w:pPr>
        <w:pStyle w:val="Descripcin"/>
        <w:spacing w:after="0" w:line="360" w:lineRule="auto"/>
        <w:jc w:val="both"/>
        <w:rPr>
          <w:rFonts w:ascii="Arial" w:hAnsi="Arial" w:cs="Arial"/>
          <w:bCs/>
          <w:i w:val="0"/>
          <w:iCs w:val="0"/>
          <w:color w:val="000000" w:themeColor="text1"/>
          <w:sz w:val="22"/>
          <w:szCs w:val="22"/>
          <w:lang w:val="es-MX"/>
        </w:rPr>
      </w:pPr>
      <w:bookmarkStart w:id="41" w:name="_Toc229395868"/>
      <w:r w:rsidRPr="006068A2">
        <w:rPr>
          <w:rFonts w:ascii="Arial" w:hAnsi="Arial" w:cs="Arial"/>
          <w:bCs/>
          <w:i w:val="0"/>
          <w:iCs w:val="0"/>
          <w:color w:val="000000" w:themeColor="text1"/>
          <w:sz w:val="22"/>
          <w:szCs w:val="22"/>
          <w:lang w:val="es-MX"/>
        </w:rPr>
        <w:lastRenderedPageBreak/>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11</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8F2446" w:rsidRPr="006068A2">
        <w:rPr>
          <w:rFonts w:ascii="Arial" w:hAnsi="Arial" w:cs="Arial"/>
          <w:bCs/>
          <w:i w:val="0"/>
          <w:iCs w:val="0"/>
          <w:color w:val="000000" w:themeColor="text1"/>
          <w:sz w:val="22"/>
          <w:szCs w:val="22"/>
          <w:lang w:val="es-MX"/>
        </w:rPr>
        <w:t>Casos y tasas de mortalidad infantil en la EAPB Coosalud, Bogotá D.C, periodo enero – diciembre 2025 preliminar.</w:t>
      </w:r>
      <w:bookmarkEnd w:id="41"/>
    </w:p>
    <w:tbl>
      <w:tblPr>
        <w:tblW w:w="8410" w:type="dxa"/>
        <w:jc w:val="center"/>
        <w:tblCellMar>
          <w:left w:w="70" w:type="dxa"/>
          <w:right w:w="70" w:type="dxa"/>
        </w:tblCellMar>
        <w:tblLook w:val="04A0" w:firstRow="1" w:lastRow="0" w:firstColumn="1" w:lastColumn="0" w:noHBand="0" w:noVBand="1"/>
      </w:tblPr>
      <w:tblGrid>
        <w:gridCol w:w="3109"/>
        <w:gridCol w:w="1676"/>
        <w:gridCol w:w="1949"/>
        <w:gridCol w:w="1676"/>
      </w:tblGrid>
      <w:tr w:rsidR="008F2446" w:rsidRPr="006068A2" w14:paraId="06F05F13" w14:textId="77777777" w:rsidTr="00C92643">
        <w:trPr>
          <w:trHeight w:val="293"/>
          <w:tblHeader/>
          <w:jc w:val="center"/>
        </w:trPr>
        <w:tc>
          <w:tcPr>
            <w:tcW w:w="3109"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4430EBCF" w14:textId="77777777" w:rsidR="008F2446" w:rsidRPr="006068A2" w:rsidRDefault="008F2446" w:rsidP="00507B91">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LOCALIDAD</w:t>
            </w:r>
          </w:p>
        </w:tc>
        <w:tc>
          <w:tcPr>
            <w:tcW w:w="1676" w:type="dxa"/>
            <w:tcBorders>
              <w:top w:val="single" w:sz="4" w:space="0" w:color="auto"/>
              <w:left w:val="nil"/>
              <w:bottom w:val="single" w:sz="4" w:space="0" w:color="auto"/>
              <w:right w:val="single" w:sz="4" w:space="0" w:color="auto"/>
            </w:tcBorders>
            <w:shd w:val="clear" w:color="000000" w:fill="E8E8E8"/>
            <w:noWrap/>
            <w:vAlign w:val="center"/>
            <w:hideMark/>
          </w:tcPr>
          <w:p w14:paraId="23D348D4" w14:textId="77777777" w:rsidR="008F2446" w:rsidRPr="006068A2" w:rsidRDefault="008F2446" w:rsidP="00C807E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CASOS</w:t>
            </w:r>
          </w:p>
        </w:tc>
        <w:tc>
          <w:tcPr>
            <w:tcW w:w="1949" w:type="dxa"/>
            <w:tcBorders>
              <w:top w:val="single" w:sz="4" w:space="0" w:color="auto"/>
              <w:left w:val="nil"/>
              <w:bottom w:val="single" w:sz="4" w:space="0" w:color="auto"/>
              <w:right w:val="single" w:sz="4" w:space="0" w:color="auto"/>
            </w:tcBorders>
            <w:shd w:val="clear" w:color="000000" w:fill="E8E8E8"/>
            <w:noWrap/>
            <w:vAlign w:val="center"/>
            <w:hideMark/>
          </w:tcPr>
          <w:p w14:paraId="7B9DC4AE" w14:textId="7C7615C5" w:rsidR="008F2446" w:rsidRPr="006068A2" w:rsidRDefault="008F2446" w:rsidP="00C807E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NACIMIENTOS</w:t>
            </w:r>
            <w:r w:rsidR="00C807E0">
              <w:rPr>
                <w:rStyle w:val="Refdenotaalpie"/>
                <w:rFonts w:ascii="Arial" w:hAnsi="Arial" w:cs="Arial"/>
                <w:b/>
                <w:bCs/>
                <w:color w:val="000000"/>
                <w:sz w:val="22"/>
                <w:szCs w:val="22"/>
                <w:lang w:eastAsia="es-CO"/>
              </w:rPr>
              <w:footnoteReference w:id="7"/>
            </w:r>
          </w:p>
        </w:tc>
        <w:tc>
          <w:tcPr>
            <w:tcW w:w="1676" w:type="dxa"/>
            <w:tcBorders>
              <w:top w:val="single" w:sz="4" w:space="0" w:color="auto"/>
              <w:left w:val="nil"/>
              <w:bottom w:val="single" w:sz="4" w:space="0" w:color="auto"/>
              <w:right w:val="single" w:sz="4" w:space="0" w:color="auto"/>
            </w:tcBorders>
            <w:shd w:val="clear" w:color="000000" w:fill="E8E8E8"/>
            <w:noWrap/>
            <w:vAlign w:val="center"/>
            <w:hideMark/>
          </w:tcPr>
          <w:p w14:paraId="6E8F34FA"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 xml:space="preserve">TASA </w:t>
            </w:r>
          </w:p>
        </w:tc>
      </w:tr>
      <w:tr w:rsidR="008F2446" w:rsidRPr="006068A2" w14:paraId="7CFF95DF"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4E7BFFF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1-USAQUEN</w:t>
            </w:r>
          </w:p>
        </w:tc>
        <w:tc>
          <w:tcPr>
            <w:tcW w:w="1676" w:type="dxa"/>
            <w:tcBorders>
              <w:top w:val="nil"/>
              <w:left w:val="nil"/>
              <w:bottom w:val="single" w:sz="4" w:space="0" w:color="auto"/>
              <w:right w:val="single" w:sz="4" w:space="0" w:color="auto"/>
            </w:tcBorders>
            <w:noWrap/>
            <w:vAlign w:val="center"/>
            <w:hideMark/>
          </w:tcPr>
          <w:p w14:paraId="0616A88E"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2E4D078F"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3842</w:t>
            </w:r>
          </w:p>
        </w:tc>
        <w:tc>
          <w:tcPr>
            <w:tcW w:w="1676" w:type="dxa"/>
            <w:tcBorders>
              <w:top w:val="nil"/>
              <w:left w:val="nil"/>
              <w:bottom w:val="single" w:sz="4" w:space="0" w:color="auto"/>
              <w:right w:val="single" w:sz="4" w:space="0" w:color="auto"/>
            </w:tcBorders>
            <w:noWrap/>
            <w:vAlign w:val="center"/>
            <w:hideMark/>
          </w:tcPr>
          <w:p w14:paraId="5C27C6B9"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08264F00"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74259713"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2-CHAPINERO</w:t>
            </w:r>
          </w:p>
        </w:tc>
        <w:tc>
          <w:tcPr>
            <w:tcW w:w="1676" w:type="dxa"/>
            <w:tcBorders>
              <w:top w:val="nil"/>
              <w:left w:val="nil"/>
              <w:bottom w:val="single" w:sz="4" w:space="0" w:color="auto"/>
              <w:right w:val="single" w:sz="4" w:space="0" w:color="auto"/>
            </w:tcBorders>
            <w:noWrap/>
            <w:vAlign w:val="center"/>
            <w:hideMark/>
          </w:tcPr>
          <w:p w14:paraId="6121B8E6"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65BF3947"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1164</w:t>
            </w:r>
          </w:p>
        </w:tc>
        <w:tc>
          <w:tcPr>
            <w:tcW w:w="1676" w:type="dxa"/>
            <w:tcBorders>
              <w:top w:val="nil"/>
              <w:left w:val="nil"/>
              <w:bottom w:val="single" w:sz="4" w:space="0" w:color="auto"/>
              <w:right w:val="single" w:sz="4" w:space="0" w:color="auto"/>
            </w:tcBorders>
            <w:noWrap/>
            <w:vAlign w:val="center"/>
            <w:hideMark/>
          </w:tcPr>
          <w:p w14:paraId="74053DF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F83A8A1"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40B15DA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3-SANTAFE</w:t>
            </w:r>
          </w:p>
        </w:tc>
        <w:tc>
          <w:tcPr>
            <w:tcW w:w="1676" w:type="dxa"/>
            <w:tcBorders>
              <w:top w:val="nil"/>
              <w:left w:val="nil"/>
              <w:bottom w:val="single" w:sz="4" w:space="0" w:color="auto"/>
              <w:right w:val="single" w:sz="4" w:space="0" w:color="auto"/>
            </w:tcBorders>
            <w:noWrap/>
            <w:vAlign w:val="center"/>
            <w:hideMark/>
          </w:tcPr>
          <w:p w14:paraId="6F61F740"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1C57459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978</w:t>
            </w:r>
          </w:p>
        </w:tc>
        <w:tc>
          <w:tcPr>
            <w:tcW w:w="1676" w:type="dxa"/>
            <w:tcBorders>
              <w:top w:val="nil"/>
              <w:left w:val="nil"/>
              <w:bottom w:val="single" w:sz="4" w:space="0" w:color="auto"/>
              <w:right w:val="single" w:sz="4" w:space="0" w:color="auto"/>
            </w:tcBorders>
            <w:noWrap/>
            <w:vAlign w:val="center"/>
            <w:hideMark/>
          </w:tcPr>
          <w:p w14:paraId="5B14942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7A184E4D"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38E8FEE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4-SAN CRISTOBAL</w:t>
            </w:r>
          </w:p>
        </w:tc>
        <w:tc>
          <w:tcPr>
            <w:tcW w:w="1676" w:type="dxa"/>
            <w:tcBorders>
              <w:top w:val="nil"/>
              <w:left w:val="nil"/>
              <w:bottom w:val="single" w:sz="4" w:space="0" w:color="auto"/>
              <w:right w:val="single" w:sz="4" w:space="0" w:color="auto"/>
            </w:tcBorders>
            <w:noWrap/>
            <w:vAlign w:val="center"/>
            <w:hideMark/>
          </w:tcPr>
          <w:p w14:paraId="5D86E823"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1B845DDC"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2876</w:t>
            </w:r>
          </w:p>
        </w:tc>
        <w:tc>
          <w:tcPr>
            <w:tcW w:w="1676" w:type="dxa"/>
            <w:tcBorders>
              <w:top w:val="nil"/>
              <w:left w:val="nil"/>
              <w:bottom w:val="single" w:sz="4" w:space="0" w:color="auto"/>
              <w:right w:val="single" w:sz="4" w:space="0" w:color="auto"/>
            </w:tcBorders>
            <w:noWrap/>
            <w:vAlign w:val="center"/>
            <w:hideMark/>
          </w:tcPr>
          <w:p w14:paraId="40117DEA"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C6399D2"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1180C71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5-USME</w:t>
            </w:r>
          </w:p>
        </w:tc>
        <w:tc>
          <w:tcPr>
            <w:tcW w:w="1676" w:type="dxa"/>
            <w:tcBorders>
              <w:top w:val="nil"/>
              <w:left w:val="nil"/>
              <w:bottom w:val="single" w:sz="4" w:space="0" w:color="auto"/>
              <w:right w:val="single" w:sz="4" w:space="0" w:color="auto"/>
            </w:tcBorders>
            <w:noWrap/>
            <w:vAlign w:val="center"/>
            <w:hideMark/>
          </w:tcPr>
          <w:p w14:paraId="1461FB59"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1949" w:type="dxa"/>
            <w:tcBorders>
              <w:top w:val="nil"/>
              <w:left w:val="nil"/>
              <w:bottom w:val="single" w:sz="4" w:space="0" w:color="auto"/>
              <w:right w:val="single" w:sz="4" w:space="0" w:color="auto"/>
            </w:tcBorders>
            <w:noWrap/>
            <w:vAlign w:val="center"/>
            <w:hideMark/>
          </w:tcPr>
          <w:p w14:paraId="0DF437D6"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3010</w:t>
            </w:r>
          </w:p>
        </w:tc>
        <w:tc>
          <w:tcPr>
            <w:tcW w:w="1676" w:type="dxa"/>
            <w:tcBorders>
              <w:top w:val="nil"/>
              <w:left w:val="nil"/>
              <w:bottom w:val="single" w:sz="4" w:space="0" w:color="auto"/>
              <w:right w:val="single" w:sz="4" w:space="0" w:color="auto"/>
            </w:tcBorders>
            <w:noWrap/>
            <w:vAlign w:val="center"/>
            <w:hideMark/>
          </w:tcPr>
          <w:p w14:paraId="6D0ED08D"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0,33</w:t>
            </w:r>
          </w:p>
        </w:tc>
      </w:tr>
      <w:tr w:rsidR="008F2446" w:rsidRPr="006068A2" w14:paraId="1E813F97"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4410FD0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6-TUNJUELITO</w:t>
            </w:r>
          </w:p>
        </w:tc>
        <w:tc>
          <w:tcPr>
            <w:tcW w:w="1676" w:type="dxa"/>
            <w:tcBorders>
              <w:top w:val="nil"/>
              <w:left w:val="nil"/>
              <w:bottom w:val="single" w:sz="4" w:space="0" w:color="auto"/>
              <w:right w:val="single" w:sz="4" w:space="0" w:color="auto"/>
            </w:tcBorders>
            <w:noWrap/>
            <w:vAlign w:val="center"/>
            <w:hideMark/>
          </w:tcPr>
          <w:p w14:paraId="5AC708F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20B00ABB"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1336</w:t>
            </w:r>
          </w:p>
        </w:tc>
        <w:tc>
          <w:tcPr>
            <w:tcW w:w="1676" w:type="dxa"/>
            <w:tcBorders>
              <w:top w:val="nil"/>
              <w:left w:val="nil"/>
              <w:bottom w:val="single" w:sz="4" w:space="0" w:color="auto"/>
              <w:right w:val="single" w:sz="4" w:space="0" w:color="auto"/>
            </w:tcBorders>
            <w:noWrap/>
            <w:vAlign w:val="center"/>
            <w:hideMark/>
          </w:tcPr>
          <w:p w14:paraId="1C986C5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12D7E869"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5F71529A"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7-BOSA</w:t>
            </w:r>
          </w:p>
        </w:tc>
        <w:tc>
          <w:tcPr>
            <w:tcW w:w="1676" w:type="dxa"/>
            <w:tcBorders>
              <w:top w:val="nil"/>
              <w:left w:val="nil"/>
              <w:bottom w:val="single" w:sz="4" w:space="0" w:color="auto"/>
              <w:right w:val="single" w:sz="4" w:space="0" w:color="auto"/>
            </w:tcBorders>
            <w:noWrap/>
            <w:vAlign w:val="center"/>
            <w:hideMark/>
          </w:tcPr>
          <w:p w14:paraId="197ADA7B"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w:t>
            </w:r>
          </w:p>
        </w:tc>
        <w:tc>
          <w:tcPr>
            <w:tcW w:w="1949" w:type="dxa"/>
            <w:tcBorders>
              <w:top w:val="nil"/>
              <w:left w:val="nil"/>
              <w:bottom w:val="single" w:sz="4" w:space="0" w:color="auto"/>
              <w:right w:val="single" w:sz="4" w:space="0" w:color="auto"/>
            </w:tcBorders>
            <w:noWrap/>
            <w:vAlign w:val="center"/>
            <w:hideMark/>
          </w:tcPr>
          <w:p w14:paraId="191C4FD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5739</w:t>
            </w:r>
          </w:p>
        </w:tc>
        <w:tc>
          <w:tcPr>
            <w:tcW w:w="1676" w:type="dxa"/>
            <w:tcBorders>
              <w:top w:val="nil"/>
              <w:left w:val="nil"/>
              <w:bottom w:val="single" w:sz="4" w:space="0" w:color="auto"/>
              <w:right w:val="single" w:sz="4" w:space="0" w:color="auto"/>
            </w:tcBorders>
            <w:noWrap/>
            <w:vAlign w:val="center"/>
            <w:hideMark/>
          </w:tcPr>
          <w:p w14:paraId="6E2EC21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0,35</w:t>
            </w:r>
          </w:p>
        </w:tc>
      </w:tr>
      <w:tr w:rsidR="008F2446" w:rsidRPr="006068A2" w14:paraId="2E5F1940"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7FFBBCB6"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8-KENNEDY</w:t>
            </w:r>
          </w:p>
        </w:tc>
        <w:tc>
          <w:tcPr>
            <w:tcW w:w="1676" w:type="dxa"/>
            <w:tcBorders>
              <w:top w:val="nil"/>
              <w:left w:val="nil"/>
              <w:bottom w:val="single" w:sz="4" w:space="0" w:color="auto"/>
              <w:right w:val="single" w:sz="4" w:space="0" w:color="auto"/>
            </w:tcBorders>
            <w:noWrap/>
            <w:vAlign w:val="center"/>
            <w:hideMark/>
          </w:tcPr>
          <w:p w14:paraId="778397A3"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0E5D3C6F"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7890</w:t>
            </w:r>
          </w:p>
        </w:tc>
        <w:tc>
          <w:tcPr>
            <w:tcW w:w="1676" w:type="dxa"/>
            <w:tcBorders>
              <w:top w:val="nil"/>
              <w:left w:val="nil"/>
              <w:bottom w:val="single" w:sz="4" w:space="0" w:color="auto"/>
              <w:right w:val="single" w:sz="4" w:space="0" w:color="auto"/>
            </w:tcBorders>
            <w:noWrap/>
            <w:vAlign w:val="center"/>
            <w:hideMark/>
          </w:tcPr>
          <w:p w14:paraId="29E4175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AB8CFA4"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1158872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9-FONTIBON</w:t>
            </w:r>
          </w:p>
        </w:tc>
        <w:tc>
          <w:tcPr>
            <w:tcW w:w="1676" w:type="dxa"/>
            <w:tcBorders>
              <w:top w:val="nil"/>
              <w:left w:val="nil"/>
              <w:bottom w:val="single" w:sz="4" w:space="0" w:color="auto"/>
              <w:right w:val="single" w:sz="4" w:space="0" w:color="auto"/>
            </w:tcBorders>
            <w:noWrap/>
            <w:vAlign w:val="center"/>
            <w:hideMark/>
          </w:tcPr>
          <w:p w14:paraId="0C45303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55579A67"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2537</w:t>
            </w:r>
          </w:p>
        </w:tc>
        <w:tc>
          <w:tcPr>
            <w:tcW w:w="1676" w:type="dxa"/>
            <w:tcBorders>
              <w:top w:val="nil"/>
              <w:left w:val="nil"/>
              <w:bottom w:val="single" w:sz="4" w:space="0" w:color="auto"/>
              <w:right w:val="single" w:sz="4" w:space="0" w:color="auto"/>
            </w:tcBorders>
            <w:noWrap/>
            <w:vAlign w:val="center"/>
            <w:hideMark/>
          </w:tcPr>
          <w:p w14:paraId="1CCB34E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1F37A4A4"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5F02A4FC"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10-ENGATIVA</w:t>
            </w:r>
          </w:p>
        </w:tc>
        <w:tc>
          <w:tcPr>
            <w:tcW w:w="1676" w:type="dxa"/>
            <w:tcBorders>
              <w:top w:val="nil"/>
              <w:left w:val="nil"/>
              <w:bottom w:val="single" w:sz="4" w:space="0" w:color="auto"/>
              <w:right w:val="single" w:sz="4" w:space="0" w:color="auto"/>
            </w:tcBorders>
            <w:noWrap/>
            <w:vAlign w:val="center"/>
            <w:hideMark/>
          </w:tcPr>
          <w:p w14:paraId="038052A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6CEFBB37"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5160</w:t>
            </w:r>
          </w:p>
        </w:tc>
        <w:tc>
          <w:tcPr>
            <w:tcW w:w="1676" w:type="dxa"/>
            <w:tcBorders>
              <w:top w:val="nil"/>
              <w:left w:val="nil"/>
              <w:bottom w:val="single" w:sz="4" w:space="0" w:color="auto"/>
              <w:right w:val="single" w:sz="4" w:space="0" w:color="auto"/>
            </w:tcBorders>
            <w:noWrap/>
            <w:vAlign w:val="center"/>
            <w:hideMark/>
          </w:tcPr>
          <w:p w14:paraId="43EE120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7D4AEC91"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34B3DD3A"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11-SUBA</w:t>
            </w:r>
          </w:p>
        </w:tc>
        <w:tc>
          <w:tcPr>
            <w:tcW w:w="1676" w:type="dxa"/>
            <w:tcBorders>
              <w:top w:val="nil"/>
              <w:left w:val="nil"/>
              <w:bottom w:val="single" w:sz="4" w:space="0" w:color="auto"/>
              <w:right w:val="single" w:sz="4" w:space="0" w:color="auto"/>
            </w:tcBorders>
            <w:noWrap/>
            <w:vAlign w:val="center"/>
            <w:hideMark/>
          </w:tcPr>
          <w:p w14:paraId="733AD60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3330DFB2"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8171</w:t>
            </w:r>
          </w:p>
        </w:tc>
        <w:tc>
          <w:tcPr>
            <w:tcW w:w="1676" w:type="dxa"/>
            <w:tcBorders>
              <w:top w:val="nil"/>
              <w:left w:val="nil"/>
              <w:bottom w:val="single" w:sz="4" w:space="0" w:color="auto"/>
              <w:right w:val="single" w:sz="4" w:space="0" w:color="auto"/>
            </w:tcBorders>
            <w:noWrap/>
            <w:vAlign w:val="center"/>
            <w:hideMark/>
          </w:tcPr>
          <w:p w14:paraId="750288E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1CB8438D"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3E62712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12-BARRIOS UNIDOS</w:t>
            </w:r>
          </w:p>
        </w:tc>
        <w:tc>
          <w:tcPr>
            <w:tcW w:w="1676" w:type="dxa"/>
            <w:tcBorders>
              <w:top w:val="nil"/>
              <w:left w:val="nil"/>
              <w:bottom w:val="single" w:sz="4" w:space="0" w:color="auto"/>
              <w:right w:val="single" w:sz="4" w:space="0" w:color="auto"/>
            </w:tcBorders>
            <w:noWrap/>
            <w:vAlign w:val="center"/>
            <w:hideMark/>
          </w:tcPr>
          <w:p w14:paraId="619CF150"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5CE270B6"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894</w:t>
            </w:r>
          </w:p>
        </w:tc>
        <w:tc>
          <w:tcPr>
            <w:tcW w:w="1676" w:type="dxa"/>
            <w:tcBorders>
              <w:top w:val="nil"/>
              <w:left w:val="nil"/>
              <w:bottom w:val="single" w:sz="4" w:space="0" w:color="auto"/>
              <w:right w:val="single" w:sz="4" w:space="0" w:color="auto"/>
            </w:tcBorders>
            <w:noWrap/>
            <w:vAlign w:val="center"/>
            <w:hideMark/>
          </w:tcPr>
          <w:p w14:paraId="760AF079"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B4F2A34"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640439C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13-TEUSAQUILLO</w:t>
            </w:r>
          </w:p>
        </w:tc>
        <w:tc>
          <w:tcPr>
            <w:tcW w:w="1676" w:type="dxa"/>
            <w:tcBorders>
              <w:top w:val="nil"/>
              <w:left w:val="nil"/>
              <w:bottom w:val="single" w:sz="4" w:space="0" w:color="auto"/>
              <w:right w:val="single" w:sz="4" w:space="0" w:color="auto"/>
            </w:tcBorders>
            <w:noWrap/>
            <w:vAlign w:val="center"/>
            <w:hideMark/>
          </w:tcPr>
          <w:p w14:paraId="1129AB64"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06A0C6DE"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781</w:t>
            </w:r>
          </w:p>
        </w:tc>
        <w:tc>
          <w:tcPr>
            <w:tcW w:w="1676" w:type="dxa"/>
            <w:tcBorders>
              <w:top w:val="nil"/>
              <w:left w:val="nil"/>
              <w:bottom w:val="single" w:sz="4" w:space="0" w:color="auto"/>
              <w:right w:val="single" w:sz="4" w:space="0" w:color="auto"/>
            </w:tcBorders>
            <w:noWrap/>
            <w:vAlign w:val="center"/>
            <w:hideMark/>
          </w:tcPr>
          <w:p w14:paraId="60F9D43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5C0DBCEF"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5713002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14-MARTIRES</w:t>
            </w:r>
          </w:p>
        </w:tc>
        <w:tc>
          <w:tcPr>
            <w:tcW w:w="1676" w:type="dxa"/>
            <w:tcBorders>
              <w:top w:val="nil"/>
              <w:left w:val="nil"/>
              <w:bottom w:val="single" w:sz="4" w:space="0" w:color="auto"/>
              <w:right w:val="single" w:sz="4" w:space="0" w:color="auto"/>
            </w:tcBorders>
            <w:noWrap/>
            <w:vAlign w:val="center"/>
            <w:hideMark/>
          </w:tcPr>
          <w:p w14:paraId="0EF8D9EB"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7BCCBD5F"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872</w:t>
            </w:r>
          </w:p>
        </w:tc>
        <w:tc>
          <w:tcPr>
            <w:tcW w:w="1676" w:type="dxa"/>
            <w:tcBorders>
              <w:top w:val="nil"/>
              <w:left w:val="nil"/>
              <w:bottom w:val="single" w:sz="4" w:space="0" w:color="auto"/>
              <w:right w:val="single" w:sz="4" w:space="0" w:color="auto"/>
            </w:tcBorders>
            <w:noWrap/>
            <w:vAlign w:val="center"/>
            <w:hideMark/>
          </w:tcPr>
          <w:p w14:paraId="7889DDC5"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0071B12C"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16160C18"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15-ANTONIO NARIÑO</w:t>
            </w:r>
          </w:p>
        </w:tc>
        <w:tc>
          <w:tcPr>
            <w:tcW w:w="1676" w:type="dxa"/>
            <w:tcBorders>
              <w:top w:val="nil"/>
              <w:left w:val="nil"/>
              <w:bottom w:val="single" w:sz="4" w:space="0" w:color="auto"/>
              <w:right w:val="single" w:sz="4" w:space="0" w:color="auto"/>
            </w:tcBorders>
            <w:noWrap/>
            <w:vAlign w:val="center"/>
            <w:hideMark/>
          </w:tcPr>
          <w:p w14:paraId="66DAC47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71AF0714"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621</w:t>
            </w:r>
          </w:p>
        </w:tc>
        <w:tc>
          <w:tcPr>
            <w:tcW w:w="1676" w:type="dxa"/>
            <w:tcBorders>
              <w:top w:val="nil"/>
              <w:left w:val="nil"/>
              <w:bottom w:val="single" w:sz="4" w:space="0" w:color="auto"/>
              <w:right w:val="single" w:sz="4" w:space="0" w:color="auto"/>
            </w:tcBorders>
            <w:noWrap/>
            <w:vAlign w:val="center"/>
            <w:hideMark/>
          </w:tcPr>
          <w:p w14:paraId="62AF76E9"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3AE29B8"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24A6A75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16-PUENTE ARANDA</w:t>
            </w:r>
          </w:p>
        </w:tc>
        <w:tc>
          <w:tcPr>
            <w:tcW w:w="1676" w:type="dxa"/>
            <w:tcBorders>
              <w:top w:val="nil"/>
              <w:left w:val="nil"/>
              <w:bottom w:val="single" w:sz="4" w:space="0" w:color="auto"/>
              <w:right w:val="single" w:sz="4" w:space="0" w:color="auto"/>
            </w:tcBorders>
            <w:noWrap/>
            <w:vAlign w:val="center"/>
            <w:hideMark/>
          </w:tcPr>
          <w:p w14:paraId="286FBECE"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61F7BB44"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1618</w:t>
            </w:r>
          </w:p>
        </w:tc>
        <w:tc>
          <w:tcPr>
            <w:tcW w:w="1676" w:type="dxa"/>
            <w:tcBorders>
              <w:top w:val="nil"/>
              <w:left w:val="nil"/>
              <w:bottom w:val="single" w:sz="4" w:space="0" w:color="auto"/>
              <w:right w:val="single" w:sz="4" w:space="0" w:color="auto"/>
            </w:tcBorders>
            <w:noWrap/>
            <w:vAlign w:val="center"/>
            <w:hideMark/>
          </w:tcPr>
          <w:p w14:paraId="77D7FA6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F841A0C"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3B834BB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17-CANDELARIA</w:t>
            </w:r>
          </w:p>
        </w:tc>
        <w:tc>
          <w:tcPr>
            <w:tcW w:w="1676" w:type="dxa"/>
            <w:tcBorders>
              <w:top w:val="nil"/>
              <w:left w:val="nil"/>
              <w:bottom w:val="single" w:sz="4" w:space="0" w:color="auto"/>
              <w:right w:val="single" w:sz="4" w:space="0" w:color="auto"/>
            </w:tcBorders>
            <w:noWrap/>
            <w:vAlign w:val="center"/>
            <w:hideMark/>
          </w:tcPr>
          <w:p w14:paraId="36FB829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69CDCB05"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152</w:t>
            </w:r>
          </w:p>
        </w:tc>
        <w:tc>
          <w:tcPr>
            <w:tcW w:w="1676" w:type="dxa"/>
            <w:tcBorders>
              <w:top w:val="nil"/>
              <w:left w:val="nil"/>
              <w:bottom w:val="single" w:sz="4" w:space="0" w:color="auto"/>
              <w:right w:val="single" w:sz="4" w:space="0" w:color="auto"/>
            </w:tcBorders>
            <w:noWrap/>
            <w:vAlign w:val="center"/>
            <w:hideMark/>
          </w:tcPr>
          <w:p w14:paraId="16F27BCD"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446AD97F"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39E82F80"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18-RAFAEL URIBE</w:t>
            </w:r>
          </w:p>
        </w:tc>
        <w:tc>
          <w:tcPr>
            <w:tcW w:w="1676" w:type="dxa"/>
            <w:tcBorders>
              <w:top w:val="nil"/>
              <w:left w:val="nil"/>
              <w:bottom w:val="single" w:sz="4" w:space="0" w:color="auto"/>
              <w:right w:val="single" w:sz="4" w:space="0" w:color="auto"/>
            </w:tcBorders>
            <w:noWrap/>
            <w:vAlign w:val="center"/>
            <w:hideMark/>
          </w:tcPr>
          <w:p w14:paraId="1B732622"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2B8A97A8"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2915</w:t>
            </w:r>
          </w:p>
        </w:tc>
        <w:tc>
          <w:tcPr>
            <w:tcW w:w="1676" w:type="dxa"/>
            <w:tcBorders>
              <w:top w:val="nil"/>
              <w:left w:val="nil"/>
              <w:bottom w:val="single" w:sz="4" w:space="0" w:color="auto"/>
              <w:right w:val="single" w:sz="4" w:space="0" w:color="auto"/>
            </w:tcBorders>
            <w:noWrap/>
            <w:vAlign w:val="center"/>
            <w:hideMark/>
          </w:tcPr>
          <w:p w14:paraId="7EE8CF6F"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0F00A108"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5226C6DC"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19-CIUDAD BOLIVAR</w:t>
            </w:r>
          </w:p>
        </w:tc>
        <w:tc>
          <w:tcPr>
            <w:tcW w:w="1676" w:type="dxa"/>
            <w:tcBorders>
              <w:top w:val="nil"/>
              <w:left w:val="nil"/>
              <w:bottom w:val="single" w:sz="4" w:space="0" w:color="auto"/>
              <w:right w:val="single" w:sz="4" w:space="0" w:color="auto"/>
            </w:tcBorders>
            <w:noWrap/>
            <w:vAlign w:val="center"/>
            <w:hideMark/>
          </w:tcPr>
          <w:p w14:paraId="34A7CB13"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1949" w:type="dxa"/>
            <w:tcBorders>
              <w:top w:val="nil"/>
              <w:left w:val="nil"/>
              <w:bottom w:val="single" w:sz="4" w:space="0" w:color="auto"/>
              <w:right w:val="single" w:sz="4" w:space="0" w:color="auto"/>
            </w:tcBorders>
            <w:noWrap/>
            <w:vAlign w:val="center"/>
            <w:hideMark/>
          </w:tcPr>
          <w:p w14:paraId="242679FC"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5969</w:t>
            </w:r>
          </w:p>
        </w:tc>
        <w:tc>
          <w:tcPr>
            <w:tcW w:w="1676" w:type="dxa"/>
            <w:tcBorders>
              <w:top w:val="nil"/>
              <w:left w:val="nil"/>
              <w:bottom w:val="single" w:sz="4" w:space="0" w:color="auto"/>
              <w:right w:val="single" w:sz="4" w:space="0" w:color="auto"/>
            </w:tcBorders>
            <w:noWrap/>
            <w:vAlign w:val="center"/>
            <w:hideMark/>
          </w:tcPr>
          <w:p w14:paraId="7322897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0,17</w:t>
            </w:r>
          </w:p>
        </w:tc>
      </w:tr>
      <w:tr w:rsidR="008F2446" w:rsidRPr="006068A2" w14:paraId="428E48E7"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262E5AB1"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20-SUMAPAZ</w:t>
            </w:r>
          </w:p>
        </w:tc>
        <w:tc>
          <w:tcPr>
            <w:tcW w:w="1676" w:type="dxa"/>
            <w:tcBorders>
              <w:top w:val="nil"/>
              <w:left w:val="nil"/>
              <w:bottom w:val="single" w:sz="4" w:space="0" w:color="auto"/>
              <w:right w:val="single" w:sz="4" w:space="0" w:color="auto"/>
            </w:tcBorders>
            <w:noWrap/>
            <w:vAlign w:val="center"/>
            <w:hideMark/>
          </w:tcPr>
          <w:p w14:paraId="5B5A0746"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27D5F381"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15</w:t>
            </w:r>
          </w:p>
        </w:tc>
        <w:tc>
          <w:tcPr>
            <w:tcW w:w="1676" w:type="dxa"/>
            <w:tcBorders>
              <w:top w:val="nil"/>
              <w:left w:val="nil"/>
              <w:bottom w:val="single" w:sz="4" w:space="0" w:color="auto"/>
              <w:right w:val="single" w:sz="4" w:space="0" w:color="auto"/>
            </w:tcBorders>
            <w:noWrap/>
            <w:vAlign w:val="center"/>
            <w:hideMark/>
          </w:tcPr>
          <w:p w14:paraId="55EB64FE"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3EE46461" w14:textId="77777777" w:rsidTr="00C92643">
        <w:trPr>
          <w:trHeight w:val="293"/>
          <w:jc w:val="center"/>
        </w:trPr>
        <w:tc>
          <w:tcPr>
            <w:tcW w:w="3109" w:type="dxa"/>
            <w:tcBorders>
              <w:top w:val="nil"/>
              <w:left w:val="single" w:sz="4" w:space="0" w:color="auto"/>
              <w:bottom w:val="single" w:sz="4" w:space="0" w:color="auto"/>
              <w:right w:val="single" w:sz="4" w:space="0" w:color="auto"/>
            </w:tcBorders>
            <w:noWrap/>
            <w:vAlign w:val="center"/>
            <w:hideMark/>
          </w:tcPr>
          <w:p w14:paraId="678F9D95"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SIN DATO DE LOCALIDAD</w:t>
            </w:r>
          </w:p>
        </w:tc>
        <w:tc>
          <w:tcPr>
            <w:tcW w:w="1676" w:type="dxa"/>
            <w:tcBorders>
              <w:top w:val="nil"/>
              <w:left w:val="nil"/>
              <w:bottom w:val="single" w:sz="4" w:space="0" w:color="auto"/>
              <w:right w:val="single" w:sz="4" w:space="0" w:color="auto"/>
            </w:tcBorders>
            <w:noWrap/>
            <w:vAlign w:val="center"/>
            <w:hideMark/>
          </w:tcPr>
          <w:p w14:paraId="0B9D4AE7"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0</w:t>
            </w:r>
          </w:p>
        </w:tc>
        <w:tc>
          <w:tcPr>
            <w:tcW w:w="1949" w:type="dxa"/>
            <w:tcBorders>
              <w:top w:val="nil"/>
              <w:left w:val="nil"/>
              <w:bottom w:val="single" w:sz="4" w:space="0" w:color="auto"/>
              <w:right w:val="single" w:sz="4" w:space="0" w:color="auto"/>
            </w:tcBorders>
            <w:noWrap/>
            <w:vAlign w:val="center"/>
            <w:hideMark/>
          </w:tcPr>
          <w:p w14:paraId="2C4F375E" w14:textId="77777777" w:rsidR="008F2446" w:rsidRPr="006068A2" w:rsidRDefault="008F2446" w:rsidP="00C807E0">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1676" w:type="dxa"/>
            <w:tcBorders>
              <w:top w:val="nil"/>
              <w:left w:val="nil"/>
              <w:bottom w:val="single" w:sz="4" w:space="0" w:color="auto"/>
              <w:right w:val="single" w:sz="4" w:space="0" w:color="auto"/>
            </w:tcBorders>
            <w:noWrap/>
            <w:vAlign w:val="center"/>
            <w:hideMark/>
          </w:tcPr>
          <w:p w14:paraId="760BD482"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0,00</w:t>
            </w:r>
          </w:p>
        </w:tc>
      </w:tr>
      <w:tr w:rsidR="008F2446" w:rsidRPr="006068A2" w14:paraId="644C0B5A" w14:textId="77777777" w:rsidTr="00C92643">
        <w:trPr>
          <w:trHeight w:val="293"/>
          <w:jc w:val="center"/>
        </w:trPr>
        <w:tc>
          <w:tcPr>
            <w:tcW w:w="3109" w:type="dxa"/>
            <w:tcBorders>
              <w:top w:val="nil"/>
              <w:left w:val="single" w:sz="4" w:space="0" w:color="auto"/>
              <w:bottom w:val="single" w:sz="4" w:space="0" w:color="auto"/>
              <w:right w:val="single" w:sz="4" w:space="0" w:color="auto"/>
            </w:tcBorders>
            <w:shd w:val="clear" w:color="000000" w:fill="E8E8E8"/>
            <w:noWrap/>
            <w:vAlign w:val="center"/>
            <w:hideMark/>
          </w:tcPr>
          <w:p w14:paraId="5AEBBF78"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 xml:space="preserve">TOTAL </w:t>
            </w:r>
          </w:p>
        </w:tc>
        <w:tc>
          <w:tcPr>
            <w:tcW w:w="1676" w:type="dxa"/>
            <w:tcBorders>
              <w:top w:val="nil"/>
              <w:left w:val="nil"/>
              <w:bottom w:val="single" w:sz="4" w:space="0" w:color="auto"/>
              <w:right w:val="single" w:sz="4" w:space="0" w:color="auto"/>
            </w:tcBorders>
            <w:shd w:val="clear" w:color="000000" w:fill="E8E8E8"/>
            <w:noWrap/>
            <w:vAlign w:val="center"/>
            <w:hideMark/>
          </w:tcPr>
          <w:p w14:paraId="211D3D75" w14:textId="77777777" w:rsidR="008F2446" w:rsidRPr="006068A2" w:rsidRDefault="008F2446" w:rsidP="00C807E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4</w:t>
            </w:r>
          </w:p>
        </w:tc>
        <w:tc>
          <w:tcPr>
            <w:tcW w:w="1949" w:type="dxa"/>
            <w:tcBorders>
              <w:top w:val="nil"/>
              <w:left w:val="nil"/>
              <w:bottom w:val="single" w:sz="4" w:space="0" w:color="auto"/>
              <w:right w:val="single" w:sz="4" w:space="0" w:color="auto"/>
            </w:tcBorders>
            <w:shd w:val="clear" w:color="000000" w:fill="E8E8E8"/>
            <w:noWrap/>
            <w:vAlign w:val="center"/>
            <w:hideMark/>
          </w:tcPr>
          <w:p w14:paraId="79CB6354" w14:textId="77777777" w:rsidR="008F2446" w:rsidRPr="006068A2" w:rsidRDefault="008F2446" w:rsidP="00C807E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56541</w:t>
            </w:r>
          </w:p>
        </w:tc>
        <w:tc>
          <w:tcPr>
            <w:tcW w:w="1676" w:type="dxa"/>
            <w:tcBorders>
              <w:top w:val="nil"/>
              <w:left w:val="nil"/>
              <w:bottom w:val="single" w:sz="4" w:space="0" w:color="auto"/>
              <w:right w:val="single" w:sz="4" w:space="0" w:color="auto"/>
            </w:tcBorders>
            <w:shd w:val="clear" w:color="000000" w:fill="E8E8E8"/>
            <w:noWrap/>
            <w:vAlign w:val="center"/>
            <w:hideMark/>
          </w:tcPr>
          <w:p w14:paraId="0AAE85B4"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0,07</w:t>
            </w:r>
          </w:p>
        </w:tc>
      </w:tr>
    </w:tbl>
    <w:p w14:paraId="545C680A" w14:textId="77777777" w:rsidR="008F2446" w:rsidRPr="00AE29FE" w:rsidRDefault="008F2446" w:rsidP="006068A2">
      <w:pPr>
        <w:spacing w:line="360" w:lineRule="auto"/>
        <w:jc w:val="both"/>
        <w:rPr>
          <w:rFonts w:ascii="Arial" w:hAnsi="Arial" w:cs="Arial"/>
          <w:color w:val="000000" w:themeColor="text1"/>
          <w:sz w:val="16"/>
          <w:szCs w:val="16"/>
          <w:lang w:val="es-MX"/>
        </w:rPr>
      </w:pPr>
      <w:r w:rsidRPr="00AE29FE">
        <w:rPr>
          <w:rFonts w:ascii="Arial" w:hAnsi="Arial" w:cs="Arial"/>
          <w:color w:val="000000" w:themeColor="text1"/>
          <w:sz w:val="16"/>
          <w:szCs w:val="16"/>
          <w:lang w:val="es-MX"/>
        </w:rPr>
        <w:t>Fuente 2025: Aplicativo RUAF-ND. Sistema de Estadísticas Vitales SDS -EEVV-PRELIMINARES ajustado 10-12-2025</w:t>
      </w:r>
    </w:p>
    <w:p w14:paraId="722F9E90" w14:textId="77777777" w:rsidR="000F2D29" w:rsidRDefault="000F2D29" w:rsidP="000F2D29">
      <w:pPr>
        <w:spacing w:line="360" w:lineRule="auto"/>
        <w:jc w:val="both"/>
        <w:rPr>
          <w:rFonts w:ascii="Arial" w:hAnsi="Arial" w:cs="Arial"/>
          <w:color w:val="000000" w:themeColor="text1"/>
          <w:sz w:val="22"/>
          <w:szCs w:val="22"/>
          <w:lang w:val="es-MX"/>
        </w:rPr>
      </w:pPr>
    </w:p>
    <w:p w14:paraId="06CBD1D5" w14:textId="3AC997EB" w:rsidR="000F2D29" w:rsidRPr="000F2D29" w:rsidRDefault="000F2D29" w:rsidP="000F2D29">
      <w:pPr>
        <w:spacing w:line="360" w:lineRule="auto"/>
        <w:jc w:val="both"/>
        <w:rPr>
          <w:rFonts w:ascii="Arial" w:hAnsi="Arial" w:cs="Arial"/>
          <w:color w:val="000000" w:themeColor="text1"/>
          <w:sz w:val="22"/>
          <w:szCs w:val="22"/>
        </w:rPr>
      </w:pPr>
      <w:r w:rsidRPr="000F2D29">
        <w:rPr>
          <w:rFonts w:ascii="Arial" w:hAnsi="Arial" w:cs="Arial"/>
          <w:color w:val="000000" w:themeColor="text1"/>
          <w:sz w:val="22"/>
          <w:szCs w:val="22"/>
        </w:rPr>
        <w:t xml:space="preserve">En cuanto a las causas básicas de mortalidad infantil, el análisis evidencia que la totalidad de los casos se concentró en condiciones originadas en el periodo neonatal y perinatal. La </w:t>
      </w:r>
      <w:r w:rsidRPr="000F2D29">
        <w:rPr>
          <w:rFonts w:ascii="Arial" w:hAnsi="Arial" w:cs="Arial"/>
          <w:color w:val="000000" w:themeColor="text1"/>
          <w:sz w:val="22"/>
          <w:szCs w:val="22"/>
        </w:rPr>
        <w:lastRenderedPageBreak/>
        <w:t>principal causa correspondió al grupo “Resto de ciertas afecciones originadas en el período perinatal”, con 2 casos, equivalentes al 50% del total. Adicionalmente, se registró 1 caso (25%) en el grupo “Feto o recién nacido afectados por complicaciones obstétricas y traumatismo del nacimiento” y 1 caso (25%) por sepsis bacteriana del recién nacido.</w:t>
      </w:r>
    </w:p>
    <w:p w14:paraId="2E39DA3D" w14:textId="77777777" w:rsidR="00C807E0" w:rsidRDefault="00C807E0" w:rsidP="000F2D29">
      <w:pPr>
        <w:spacing w:line="360" w:lineRule="auto"/>
        <w:jc w:val="both"/>
        <w:rPr>
          <w:rFonts w:ascii="Arial" w:hAnsi="Arial" w:cs="Arial"/>
          <w:color w:val="000000" w:themeColor="text1"/>
          <w:sz w:val="22"/>
          <w:szCs w:val="22"/>
          <w:lang w:val="es-MX"/>
        </w:rPr>
      </w:pPr>
    </w:p>
    <w:p w14:paraId="4B8918C6" w14:textId="1611ECCB" w:rsidR="008F2446" w:rsidRDefault="00FA5AF7" w:rsidP="00535C8F">
      <w:pPr>
        <w:pStyle w:val="Descripcin"/>
        <w:spacing w:after="0" w:line="360" w:lineRule="auto"/>
        <w:jc w:val="both"/>
        <w:rPr>
          <w:rFonts w:ascii="Arial" w:hAnsi="Arial" w:cs="Arial"/>
          <w:bCs/>
          <w:i w:val="0"/>
          <w:iCs w:val="0"/>
          <w:color w:val="000000" w:themeColor="text1"/>
          <w:sz w:val="22"/>
          <w:szCs w:val="22"/>
          <w:lang w:val="es-MX"/>
        </w:rPr>
      </w:pPr>
      <w:bookmarkStart w:id="42" w:name="_Toc229395869"/>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12</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8F2446" w:rsidRPr="006068A2">
        <w:rPr>
          <w:rFonts w:ascii="Arial" w:hAnsi="Arial" w:cs="Arial"/>
          <w:bCs/>
          <w:i w:val="0"/>
          <w:iCs w:val="0"/>
          <w:color w:val="000000" w:themeColor="text1"/>
          <w:sz w:val="22"/>
          <w:szCs w:val="22"/>
          <w:lang w:val="es-MX"/>
        </w:rPr>
        <w:t>Proporción de causas básicas de mortalidad infantil en la EAPB Coosalud, Bogotá D.C, periodo enero – diciembre 2025 preliminar.</w:t>
      </w:r>
      <w:bookmarkEnd w:id="42"/>
    </w:p>
    <w:p w14:paraId="6E2E4D77" w14:textId="77777777" w:rsidR="00A11FCC" w:rsidRPr="00A11FCC" w:rsidRDefault="00A11FCC" w:rsidP="00A11FCC">
      <w:pPr>
        <w:rPr>
          <w:lang w:val="es-MX"/>
        </w:rPr>
      </w:pPr>
    </w:p>
    <w:tbl>
      <w:tblPr>
        <w:tblW w:w="9323" w:type="dxa"/>
        <w:jc w:val="center"/>
        <w:shd w:val="clear" w:color="auto" w:fill="FFFFFF" w:themeFill="background1"/>
        <w:tblCellMar>
          <w:left w:w="70" w:type="dxa"/>
          <w:right w:w="70" w:type="dxa"/>
        </w:tblCellMar>
        <w:tblLook w:val="04A0" w:firstRow="1" w:lastRow="0" w:firstColumn="1" w:lastColumn="0" w:noHBand="0" w:noVBand="1"/>
      </w:tblPr>
      <w:tblGrid>
        <w:gridCol w:w="7326"/>
        <w:gridCol w:w="999"/>
        <w:gridCol w:w="998"/>
      </w:tblGrid>
      <w:tr w:rsidR="008F2446" w:rsidRPr="006068A2" w14:paraId="26964B8C" w14:textId="77777777" w:rsidTr="006D51DB">
        <w:trPr>
          <w:trHeight w:val="302"/>
          <w:jc w:val="center"/>
        </w:trPr>
        <w:tc>
          <w:tcPr>
            <w:tcW w:w="73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8850A6" w14:textId="3329F301" w:rsidR="008F2446" w:rsidRPr="006068A2" w:rsidRDefault="008F2446" w:rsidP="004F4FC0">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Causas agrupadas 6/67 de mortalidad</w:t>
            </w:r>
          </w:p>
        </w:tc>
        <w:tc>
          <w:tcPr>
            <w:tcW w:w="99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98ADFA6" w14:textId="77777777" w:rsidR="008F2446" w:rsidRPr="006068A2" w:rsidRDefault="008F2446" w:rsidP="006D51DB">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casos</w:t>
            </w:r>
          </w:p>
        </w:tc>
        <w:tc>
          <w:tcPr>
            <w:tcW w:w="99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FB2BA00" w14:textId="77777777" w:rsidR="008F2446" w:rsidRPr="006068A2" w:rsidRDefault="008F2446" w:rsidP="006D51DB">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w:t>
            </w:r>
          </w:p>
        </w:tc>
      </w:tr>
      <w:tr w:rsidR="008F2446" w:rsidRPr="006068A2" w14:paraId="0C2101EF" w14:textId="77777777" w:rsidTr="006D51DB">
        <w:trPr>
          <w:trHeight w:val="302"/>
          <w:jc w:val="center"/>
        </w:trPr>
        <w:tc>
          <w:tcPr>
            <w:tcW w:w="732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EDD0084"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 xml:space="preserve">4,06 resto de ciertas afecciones originadas en el período perinatal </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14:paraId="2F69ACCF"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w:t>
            </w:r>
          </w:p>
        </w:tc>
        <w:tc>
          <w:tcPr>
            <w:tcW w:w="998" w:type="dxa"/>
            <w:tcBorders>
              <w:top w:val="nil"/>
              <w:left w:val="nil"/>
              <w:bottom w:val="single" w:sz="4" w:space="0" w:color="auto"/>
              <w:right w:val="single" w:sz="4" w:space="0" w:color="auto"/>
            </w:tcBorders>
            <w:shd w:val="clear" w:color="auto" w:fill="FFFFFF" w:themeFill="background1"/>
            <w:noWrap/>
            <w:vAlign w:val="bottom"/>
            <w:hideMark/>
          </w:tcPr>
          <w:p w14:paraId="04174790"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50%</w:t>
            </w:r>
          </w:p>
        </w:tc>
      </w:tr>
      <w:tr w:rsidR="008F2446" w:rsidRPr="006068A2" w14:paraId="30C6A197" w14:textId="77777777" w:rsidTr="006D51DB">
        <w:trPr>
          <w:trHeight w:val="302"/>
          <w:jc w:val="center"/>
        </w:trPr>
        <w:tc>
          <w:tcPr>
            <w:tcW w:w="732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953DE27"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4,02 feto o recién nacido afectados por complicaciones obstétricas y traumatismo del nacimiento</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14:paraId="517E5E13"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998" w:type="dxa"/>
            <w:tcBorders>
              <w:top w:val="nil"/>
              <w:left w:val="nil"/>
              <w:bottom w:val="single" w:sz="4" w:space="0" w:color="auto"/>
              <w:right w:val="single" w:sz="4" w:space="0" w:color="auto"/>
            </w:tcBorders>
            <w:shd w:val="clear" w:color="auto" w:fill="FFFFFF" w:themeFill="background1"/>
            <w:noWrap/>
            <w:vAlign w:val="bottom"/>
            <w:hideMark/>
          </w:tcPr>
          <w:p w14:paraId="77EBEBEB"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25%</w:t>
            </w:r>
          </w:p>
        </w:tc>
      </w:tr>
      <w:tr w:rsidR="008F2446" w:rsidRPr="006068A2" w14:paraId="11DEAD5C" w14:textId="77777777" w:rsidTr="006D51DB">
        <w:trPr>
          <w:trHeight w:val="302"/>
          <w:jc w:val="center"/>
        </w:trPr>
        <w:tc>
          <w:tcPr>
            <w:tcW w:w="732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F31E436" w14:textId="77777777" w:rsidR="008F2446" w:rsidRPr="006068A2" w:rsidRDefault="008F2446" w:rsidP="006068A2">
            <w:pPr>
              <w:spacing w:line="360" w:lineRule="auto"/>
              <w:jc w:val="both"/>
              <w:rPr>
                <w:rFonts w:ascii="Arial" w:hAnsi="Arial" w:cs="Arial"/>
                <w:color w:val="000000"/>
                <w:sz w:val="22"/>
                <w:szCs w:val="22"/>
                <w:lang w:eastAsia="es-CO"/>
              </w:rPr>
            </w:pPr>
            <w:r w:rsidRPr="006068A2">
              <w:rPr>
                <w:rFonts w:ascii="Arial" w:hAnsi="Arial" w:cs="Arial"/>
                <w:color w:val="000000"/>
                <w:sz w:val="22"/>
                <w:szCs w:val="22"/>
                <w:lang w:eastAsia="es-CO"/>
              </w:rPr>
              <w:t>4,05 sepsis bacteriana del recién nacido</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14:paraId="480CDAF6"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1</w:t>
            </w:r>
          </w:p>
        </w:tc>
        <w:tc>
          <w:tcPr>
            <w:tcW w:w="998" w:type="dxa"/>
            <w:tcBorders>
              <w:top w:val="nil"/>
              <w:left w:val="nil"/>
              <w:bottom w:val="single" w:sz="4" w:space="0" w:color="auto"/>
              <w:right w:val="single" w:sz="4" w:space="0" w:color="auto"/>
            </w:tcBorders>
            <w:shd w:val="clear" w:color="auto" w:fill="FFFFFF" w:themeFill="background1"/>
            <w:noWrap/>
            <w:vAlign w:val="bottom"/>
            <w:hideMark/>
          </w:tcPr>
          <w:p w14:paraId="3038E60F" w14:textId="77777777" w:rsidR="008F2446" w:rsidRPr="006068A2" w:rsidRDefault="008F2446" w:rsidP="006D51DB">
            <w:pPr>
              <w:spacing w:line="360" w:lineRule="auto"/>
              <w:jc w:val="center"/>
              <w:rPr>
                <w:rFonts w:ascii="Arial" w:hAnsi="Arial" w:cs="Arial"/>
                <w:color w:val="000000"/>
                <w:sz w:val="22"/>
                <w:szCs w:val="22"/>
                <w:lang w:eastAsia="es-CO"/>
              </w:rPr>
            </w:pPr>
            <w:r w:rsidRPr="006068A2">
              <w:rPr>
                <w:rFonts w:ascii="Arial" w:hAnsi="Arial" w:cs="Arial"/>
                <w:color w:val="000000"/>
                <w:sz w:val="22"/>
                <w:szCs w:val="22"/>
                <w:lang w:eastAsia="es-CO"/>
              </w:rPr>
              <w:t>25%</w:t>
            </w:r>
          </w:p>
        </w:tc>
      </w:tr>
      <w:tr w:rsidR="008F2446" w:rsidRPr="006068A2" w14:paraId="638DCD00" w14:textId="77777777" w:rsidTr="006D51DB">
        <w:trPr>
          <w:trHeight w:val="302"/>
          <w:jc w:val="center"/>
        </w:trPr>
        <w:tc>
          <w:tcPr>
            <w:tcW w:w="732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6AD6915" w14:textId="77777777" w:rsidR="008F2446" w:rsidRPr="006068A2" w:rsidRDefault="008F2446" w:rsidP="006068A2">
            <w:pPr>
              <w:spacing w:line="360" w:lineRule="auto"/>
              <w:jc w:val="both"/>
              <w:rPr>
                <w:rFonts w:ascii="Arial" w:hAnsi="Arial" w:cs="Arial"/>
                <w:b/>
                <w:bCs/>
                <w:color w:val="000000"/>
                <w:sz w:val="22"/>
                <w:szCs w:val="22"/>
                <w:lang w:eastAsia="es-CO"/>
              </w:rPr>
            </w:pPr>
            <w:r w:rsidRPr="006068A2">
              <w:rPr>
                <w:rFonts w:ascii="Arial" w:hAnsi="Arial" w:cs="Arial"/>
                <w:b/>
                <w:bCs/>
                <w:color w:val="000000"/>
                <w:sz w:val="22"/>
                <w:szCs w:val="22"/>
                <w:lang w:eastAsia="es-CO"/>
              </w:rPr>
              <w:t>Total</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14:paraId="65A5091E" w14:textId="77777777" w:rsidR="008F2446" w:rsidRPr="006068A2" w:rsidRDefault="008F2446" w:rsidP="006D51DB">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4</w:t>
            </w:r>
          </w:p>
        </w:tc>
        <w:tc>
          <w:tcPr>
            <w:tcW w:w="998" w:type="dxa"/>
            <w:tcBorders>
              <w:top w:val="nil"/>
              <w:left w:val="nil"/>
              <w:bottom w:val="single" w:sz="4" w:space="0" w:color="auto"/>
              <w:right w:val="single" w:sz="4" w:space="0" w:color="auto"/>
            </w:tcBorders>
            <w:shd w:val="clear" w:color="auto" w:fill="FFFFFF" w:themeFill="background1"/>
            <w:noWrap/>
            <w:vAlign w:val="bottom"/>
            <w:hideMark/>
          </w:tcPr>
          <w:p w14:paraId="075BB079" w14:textId="77777777" w:rsidR="008F2446" w:rsidRPr="006068A2" w:rsidRDefault="008F2446" w:rsidP="006D51DB">
            <w:pPr>
              <w:spacing w:line="360" w:lineRule="auto"/>
              <w:jc w:val="center"/>
              <w:rPr>
                <w:rFonts w:ascii="Arial" w:hAnsi="Arial" w:cs="Arial"/>
                <w:b/>
                <w:bCs/>
                <w:color w:val="000000"/>
                <w:sz w:val="22"/>
                <w:szCs w:val="22"/>
                <w:lang w:eastAsia="es-CO"/>
              </w:rPr>
            </w:pPr>
            <w:r w:rsidRPr="006068A2">
              <w:rPr>
                <w:rFonts w:ascii="Arial" w:hAnsi="Arial" w:cs="Arial"/>
                <w:b/>
                <w:bCs/>
                <w:color w:val="000000"/>
                <w:sz w:val="22"/>
                <w:szCs w:val="22"/>
                <w:lang w:eastAsia="es-CO"/>
              </w:rPr>
              <w:t>100%</w:t>
            </w:r>
          </w:p>
        </w:tc>
      </w:tr>
    </w:tbl>
    <w:p w14:paraId="51FE57EF" w14:textId="77777777" w:rsidR="008F2446" w:rsidRPr="007F6CA6" w:rsidRDefault="008F2446" w:rsidP="007F6CA6">
      <w:pPr>
        <w:spacing w:line="360" w:lineRule="auto"/>
        <w:jc w:val="both"/>
        <w:rPr>
          <w:rFonts w:ascii="Arial" w:hAnsi="Arial" w:cs="Arial"/>
          <w:color w:val="000000" w:themeColor="text1"/>
          <w:sz w:val="16"/>
          <w:szCs w:val="16"/>
          <w:lang w:val="es-MX"/>
        </w:rPr>
      </w:pPr>
      <w:r w:rsidRPr="007F6CA6">
        <w:rPr>
          <w:rFonts w:ascii="Arial" w:hAnsi="Arial" w:cs="Arial"/>
          <w:color w:val="000000" w:themeColor="text1"/>
          <w:sz w:val="16"/>
          <w:szCs w:val="16"/>
          <w:lang w:val="es-MX"/>
        </w:rPr>
        <w:t>Fuente 2025: Aplicativo RUAF-ND. Sistema de Estadísticas Vitales SDS -EEVV-PRELIMINARES ajustado 10-12-2025</w:t>
      </w:r>
    </w:p>
    <w:p w14:paraId="25804AFC" w14:textId="77777777" w:rsidR="008F2446" w:rsidRPr="006068A2" w:rsidRDefault="008F2446" w:rsidP="006068A2">
      <w:pPr>
        <w:pStyle w:val="Prrafodelista"/>
        <w:spacing w:line="360" w:lineRule="auto"/>
        <w:jc w:val="both"/>
        <w:rPr>
          <w:rFonts w:ascii="Arial" w:hAnsi="Arial" w:cs="Arial"/>
          <w:color w:val="000000" w:themeColor="text1"/>
          <w:sz w:val="22"/>
          <w:szCs w:val="22"/>
          <w:lang w:val="es-MX"/>
        </w:rPr>
      </w:pPr>
    </w:p>
    <w:p w14:paraId="7D0A4E2B" w14:textId="77777777" w:rsidR="007F6CA6" w:rsidRDefault="007F6CA6" w:rsidP="007F6CA6">
      <w:pPr>
        <w:spacing w:line="360" w:lineRule="auto"/>
        <w:jc w:val="both"/>
        <w:rPr>
          <w:rFonts w:ascii="Arial" w:hAnsi="Arial" w:cs="Arial"/>
          <w:sz w:val="22"/>
          <w:szCs w:val="22"/>
        </w:rPr>
      </w:pPr>
      <w:r w:rsidRPr="007F6CA6">
        <w:rPr>
          <w:rFonts w:ascii="Arial" w:hAnsi="Arial" w:cs="Arial"/>
          <w:sz w:val="22"/>
          <w:szCs w:val="22"/>
        </w:rPr>
        <w:t>La distribución de las causas básicas sugiere que los eventos observados estuvieron estrechamente vinculados con condiciones del embarazo, el parto, el puerperio inmediato y la atención neonatal temprana. En particular, el predominio de afecciones originadas en el periodo perinatal resalta la importancia de fortalecer la calidad de la atención materno-perinatal en toda la ruta, desde el control prenatal y la identificación oportuna de gestantes de alto riesgo hasta la atención segura del parto, el puerperio y el seguimiento del recién nacido.</w:t>
      </w:r>
    </w:p>
    <w:p w14:paraId="65475AB3" w14:textId="77777777" w:rsidR="00F9461B" w:rsidRPr="007F6CA6" w:rsidRDefault="00F9461B" w:rsidP="007F6CA6">
      <w:pPr>
        <w:spacing w:line="360" w:lineRule="auto"/>
        <w:jc w:val="both"/>
        <w:rPr>
          <w:rFonts w:ascii="Arial" w:hAnsi="Arial" w:cs="Arial"/>
          <w:sz w:val="22"/>
          <w:szCs w:val="22"/>
        </w:rPr>
      </w:pPr>
    </w:p>
    <w:p w14:paraId="0F65CE44" w14:textId="77777777" w:rsidR="007F6CA6" w:rsidRPr="00F9461B" w:rsidRDefault="007F6CA6" w:rsidP="007F6CA6">
      <w:pPr>
        <w:spacing w:line="360" w:lineRule="auto"/>
        <w:jc w:val="both"/>
        <w:rPr>
          <w:rFonts w:ascii="Arial" w:hAnsi="Arial" w:cs="Arial"/>
          <w:sz w:val="22"/>
          <w:szCs w:val="22"/>
        </w:rPr>
      </w:pPr>
      <w:r w:rsidRPr="007F6CA6">
        <w:rPr>
          <w:rFonts w:ascii="Arial" w:hAnsi="Arial" w:cs="Arial"/>
          <w:sz w:val="22"/>
          <w:szCs w:val="22"/>
        </w:rPr>
        <w:t>De igual manera, la presencia de un caso asociado a sepsis bacteriana del recién nacido pone de relieve la necesidad de reforzar los procesos de prevención, detección oportuna y manejo adecuado de infecciones neonatales, dado que este tipo de eventos puede estar relacionado con fallas en la vigilancia clínica, retrasos diagnósticos o limitaciones en la respuesta temprana de los servicios de salud. En conjunto, el patrón observado confirma que los casos se concentraron en el periodo neonatal y perinatal, lo que orienta la necesidad de fortalecer las intervenciones dirigidas a la gestación, el parto y el cuidado inicial del recién nacido.</w:t>
      </w:r>
    </w:p>
    <w:p w14:paraId="4F52419E" w14:textId="77777777" w:rsidR="00F9461B" w:rsidRPr="007F6CA6" w:rsidRDefault="00F9461B" w:rsidP="007F6CA6">
      <w:pPr>
        <w:spacing w:line="360" w:lineRule="auto"/>
        <w:jc w:val="both"/>
        <w:rPr>
          <w:rFonts w:ascii="Arial" w:hAnsi="Arial" w:cs="Arial"/>
          <w:sz w:val="22"/>
          <w:szCs w:val="22"/>
        </w:rPr>
      </w:pPr>
    </w:p>
    <w:p w14:paraId="4FA6B9BB" w14:textId="77777777" w:rsidR="007F6CA6" w:rsidRPr="007F6CA6" w:rsidRDefault="007F6CA6" w:rsidP="007F6CA6">
      <w:pPr>
        <w:spacing w:line="360" w:lineRule="auto"/>
        <w:jc w:val="both"/>
        <w:rPr>
          <w:rFonts w:ascii="Arial" w:hAnsi="Arial" w:cs="Arial"/>
          <w:sz w:val="22"/>
          <w:szCs w:val="22"/>
        </w:rPr>
      </w:pPr>
      <w:r w:rsidRPr="007F6CA6">
        <w:rPr>
          <w:rFonts w:ascii="Arial" w:hAnsi="Arial" w:cs="Arial"/>
          <w:sz w:val="22"/>
          <w:szCs w:val="22"/>
        </w:rPr>
        <w:lastRenderedPageBreak/>
        <w:t>En síntesis, aunque la mortalidad infantil en la población afiliada a COOSALUD EPS en Bogotá D. C. presentó una baja frecuencia absoluta durante 2025, la concentración de casos en localidades con mayor vulnerabilidad y el predominio de causas asociadas al periodo perinatal y neonatal hacen necesario mantener un seguimiento estricto sobre la calidad y oportunidad de las intervenciones materno-perinatales. En este sentido, más que la magnitud global del indicador, lo relevante es la naturaleza de los eventos observados, que sugiere la necesidad de reforzar la gestión del riesgo en gestantes y recién nacidos, mejorar la trazabilidad de los casos y fortalecer la articulación entre aseguramiento, red prestadora y vigilancia territorial para prevenir desenlaces potencialmente evitables.</w:t>
      </w:r>
    </w:p>
    <w:p w14:paraId="6A433BA2" w14:textId="77777777" w:rsidR="008F2446" w:rsidRPr="006068A2" w:rsidRDefault="008F2446" w:rsidP="006068A2">
      <w:pPr>
        <w:spacing w:line="360" w:lineRule="auto"/>
        <w:jc w:val="both"/>
        <w:rPr>
          <w:rFonts w:ascii="Arial" w:hAnsi="Arial" w:cs="Arial"/>
          <w:sz w:val="22"/>
          <w:szCs w:val="22"/>
        </w:rPr>
      </w:pPr>
      <w:bookmarkStart w:id="43" w:name="_Hlk229057336"/>
    </w:p>
    <w:p w14:paraId="326F56FC" w14:textId="704E205E" w:rsidR="00EA3126" w:rsidRPr="006068A2" w:rsidRDefault="00EA3126" w:rsidP="006068A2">
      <w:pPr>
        <w:pStyle w:val="Ttulo2"/>
        <w:spacing w:before="0" w:line="360" w:lineRule="auto"/>
        <w:jc w:val="both"/>
        <w:rPr>
          <w:rFonts w:ascii="Arial" w:hAnsi="Arial" w:cs="Arial"/>
          <w:b/>
          <w:bCs/>
          <w:color w:val="auto"/>
          <w:sz w:val="22"/>
          <w:szCs w:val="22"/>
        </w:rPr>
      </w:pPr>
      <w:bookmarkStart w:id="44" w:name="_Toc229397846"/>
      <w:r w:rsidRPr="006068A2">
        <w:rPr>
          <w:rFonts w:ascii="Arial" w:hAnsi="Arial" w:cs="Arial"/>
          <w:b/>
          <w:bCs/>
          <w:color w:val="auto"/>
          <w:sz w:val="22"/>
          <w:szCs w:val="22"/>
        </w:rPr>
        <w:t>5.3. Coberturas de Vacunación.</w:t>
      </w:r>
      <w:bookmarkEnd w:id="44"/>
      <w:r w:rsidRPr="006068A2">
        <w:rPr>
          <w:rFonts w:ascii="Arial" w:hAnsi="Arial" w:cs="Arial"/>
          <w:b/>
          <w:bCs/>
          <w:color w:val="auto"/>
          <w:sz w:val="22"/>
          <w:szCs w:val="22"/>
        </w:rPr>
        <w:t xml:space="preserve"> </w:t>
      </w:r>
    </w:p>
    <w:p w14:paraId="706B285F" w14:textId="77777777" w:rsidR="000E5255" w:rsidRDefault="000E5255" w:rsidP="006068A2">
      <w:pPr>
        <w:spacing w:line="360" w:lineRule="auto"/>
        <w:jc w:val="both"/>
        <w:rPr>
          <w:rFonts w:ascii="Arial" w:hAnsi="Arial" w:cs="Arial"/>
          <w:bCs/>
          <w:color w:val="000000" w:themeColor="text1"/>
          <w:sz w:val="22"/>
          <w:szCs w:val="22"/>
        </w:rPr>
      </w:pPr>
    </w:p>
    <w:p w14:paraId="02E8580C" w14:textId="77777777" w:rsidR="00A4615B" w:rsidRDefault="00A4615B" w:rsidP="00A4615B">
      <w:pPr>
        <w:spacing w:line="360" w:lineRule="auto"/>
        <w:jc w:val="both"/>
        <w:rPr>
          <w:rFonts w:ascii="Arial" w:hAnsi="Arial" w:cs="Arial"/>
          <w:bCs/>
          <w:color w:val="000000" w:themeColor="text1"/>
          <w:sz w:val="22"/>
          <w:szCs w:val="22"/>
        </w:rPr>
      </w:pPr>
      <w:r w:rsidRPr="00A4615B">
        <w:rPr>
          <w:rFonts w:ascii="Arial" w:hAnsi="Arial" w:cs="Arial"/>
          <w:bCs/>
          <w:color w:val="000000" w:themeColor="text1"/>
          <w:sz w:val="22"/>
          <w:szCs w:val="22"/>
        </w:rPr>
        <w:t>De acuerdo con el informe de seguimiento al cumplimiento de coberturas de vacunación del Programa Ampliado de Inmunizaciones (PAI) para la vigencia 2025, remitido por la Secretaría Distrital de Salud a COOSALUD EPS, la cobertura mínima mensual esperada para los biológicos del esquema permanente correspondía al 7,92%. En consecuencia, el acumulado a diciembre de 2025 debía ser igual o superior al 95%, con el propósito de asegurar la vacunación de la población susceptible afiliada a la EAPB.</w:t>
      </w:r>
    </w:p>
    <w:p w14:paraId="70C3F1F1" w14:textId="77777777" w:rsidR="00A4615B" w:rsidRPr="00A4615B" w:rsidRDefault="00A4615B" w:rsidP="00A4615B">
      <w:pPr>
        <w:spacing w:line="360" w:lineRule="auto"/>
        <w:jc w:val="both"/>
        <w:rPr>
          <w:rFonts w:ascii="Arial" w:hAnsi="Arial" w:cs="Arial"/>
          <w:bCs/>
          <w:color w:val="000000" w:themeColor="text1"/>
          <w:sz w:val="22"/>
          <w:szCs w:val="22"/>
        </w:rPr>
      </w:pPr>
    </w:p>
    <w:p w14:paraId="75716F80" w14:textId="26867045" w:rsidR="00A4615B" w:rsidRDefault="00A4615B" w:rsidP="00A4615B">
      <w:pPr>
        <w:spacing w:line="360" w:lineRule="auto"/>
        <w:jc w:val="both"/>
        <w:rPr>
          <w:rFonts w:ascii="Arial" w:hAnsi="Arial" w:cs="Arial"/>
          <w:bCs/>
          <w:color w:val="000000" w:themeColor="text1"/>
          <w:sz w:val="22"/>
          <w:szCs w:val="22"/>
        </w:rPr>
      </w:pPr>
      <w:r w:rsidRPr="00A4615B">
        <w:rPr>
          <w:rFonts w:ascii="Arial" w:hAnsi="Arial" w:cs="Arial"/>
          <w:bCs/>
          <w:color w:val="000000" w:themeColor="text1"/>
          <w:sz w:val="22"/>
          <w:szCs w:val="22"/>
        </w:rPr>
        <w:t>Bajo este referente, el análisis de coberturas permite valorar el desempeño operativo de la entidad en la captación y vacunación de cohortes, así como identificar brechas programáticas y riesgos epidemiológicos asociados a esquemas incompletos o coberturas subóptimas en grupos priorizados. En términos generales, los trazadores del PAI en población infantil muestran un comportamiento heterogéneo: varios biológicos superan la meta acumulada esperada, mientras que persisten rezagos en vacunas estratégicas para el cierre oportuno de esquemas.</w:t>
      </w:r>
    </w:p>
    <w:p w14:paraId="63F32306" w14:textId="77777777" w:rsidR="00A4615B" w:rsidRPr="00A4615B" w:rsidRDefault="00A4615B" w:rsidP="006068A2">
      <w:pPr>
        <w:spacing w:line="360" w:lineRule="auto"/>
        <w:jc w:val="both"/>
        <w:rPr>
          <w:rFonts w:ascii="Arial" w:hAnsi="Arial" w:cs="Arial"/>
          <w:bCs/>
          <w:color w:val="000000" w:themeColor="text1"/>
          <w:sz w:val="22"/>
          <w:szCs w:val="22"/>
        </w:rPr>
      </w:pPr>
    </w:p>
    <w:p w14:paraId="567F48A9" w14:textId="5AE3751D" w:rsidR="006115AA" w:rsidRPr="006115AA" w:rsidRDefault="00D4296F" w:rsidP="003D4582">
      <w:pPr>
        <w:pStyle w:val="Descripcin"/>
        <w:spacing w:after="0" w:line="360" w:lineRule="auto"/>
        <w:jc w:val="both"/>
        <w:rPr>
          <w:lang w:val="es-MX"/>
        </w:rPr>
      </w:pPr>
      <w:bookmarkStart w:id="45" w:name="_Toc229395870"/>
      <w:r w:rsidRPr="00507B91">
        <w:rPr>
          <w:rFonts w:ascii="Arial" w:hAnsi="Arial" w:cs="Arial"/>
          <w:bCs/>
          <w:i w:val="0"/>
          <w:iCs w:val="0"/>
          <w:color w:val="000000" w:themeColor="text1"/>
          <w:sz w:val="22"/>
          <w:szCs w:val="22"/>
          <w:lang w:val="es-MX"/>
        </w:rPr>
        <w:t xml:space="preserve">Tabla </w:t>
      </w:r>
      <w:r w:rsidRPr="00507B91">
        <w:rPr>
          <w:rFonts w:ascii="Arial" w:hAnsi="Arial" w:cs="Arial"/>
          <w:bCs/>
          <w:i w:val="0"/>
          <w:iCs w:val="0"/>
          <w:color w:val="000000" w:themeColor="text1"/>
          <w:sz w:val="22"/>
          <w:szCs w:val="22"/>
          <w:lang w:val="es-MX"/>
        </w:rPr>
        <w:fldChar w:fldCharType="begin"/>
      </w:r>
      <w:r w:rsidRPr="00507B91">
        <w:rPr>
          <w:rFonts w:ascii="Arial" w:hAnsi="Arial" w:cs="Arial"/>
          <w:bCs/>
          <w:i w:val="0"/>
          <w:iCs w:val="0"/>
          <w:color w:val="000000" w:themeColor="text1"/>
          <w:sz w:val="22"/>
          <w:szCs w:val="22"/>
          <w:lang w:val="es-MX"/>
        </w:rPr>
        <w:instrText xml:space="preserve"> SEQ Tabla \* ARABIC </w:instrText>
      </w:r>
      <w:r w:rsidRPr="00507B91">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13</w:t>
      </w:r>
      <w:r w:rsidRPr="00507B91">
        <w:rPr>
          <w:rFonts w:ascii="Arial" w:hAnsi="Arial" w:cs="Arial"/>
          <w:bCs/>
          <w:i w:val="0"/>
          <w:iCs w:val="0"/>
          <w:color w:val="000000" w:themeColor="text1"/>
          <w:sz w:val="22"/>
          <w:szCs w:val="22"/>
          <w:lang w:val="es-MX"/>
        </w:rPr>
        <w:fldChar w:fldCharType="end"/>
      </w:r>
      <w:r w:rsidRPr="00507B91">
        <w:rPr>
          <w:rFonts w:ascii="Arial" w:hAnsi="Arial" w:cs="Arial"/>
          <w:bCs/>
          <w:i w:val="0"/>
          <w:iCs w:val="0"/>
          <w:color w:val="000000" w:themeColor="text1"/>
          <w:sz w:val="22"/>
          <w:szCs w:val="22"/>
          <w:lang w:val="es-MX"/>
        </w:rPr>
        <w:t xml:space="preserve">. </w:t>
      </w:r>
      <w:r w:rsidR="003D4582" w:rsidRPr="003D4582">
        <w:rPr>
          <w:rFonts w:ascii="Arial" w:hAnsi="Arial" w:cs="Arial"/>
          <w:bCs/>
          <w:i w:val="0"/>
          <w:iCs w:val="0"/>
          <w:color w:val="000000" w:themeColor="text1"/>
          <w:sz w:val="22"/>
          <w:szCs w:val="22"/>
          <w:lang w:val="es-MX"/>
        </w:rPr>
        <w:t>Coberturas trazadoras del PAI en población infantil afiliada a COOSALUD EPS. Bogotá D. C., 2025</w:t>
      </w:r>
      <w:bookmarkEnd w:id="45"/>
    </w:p>
    <w:p w14:paraId="1093ABD9" w14:textId="77777777" w:rsidR="003D4582" w:rsidRDefault="003D4582" w:rsidP="006068A2">
      <w:pPr>
        <w:spacing w:line="360" w:lineRule="auto"/>
        <w:jc w:val="both"/>
        <w:rPr>
          <w:rFonts w:ascii="Arial" w:hAnsi="Arial" w:cs="Arial"/>
          <w:bCs/>
          <w:sz w:val="16"/>
          <w:szCs w:val="16"/>
        </w:rPr>
      </w:pPr>
    </w:p>
    <w:tbl>
      <w:tblPr>
        <w:tblStyle w:val="Tablaconcuadrcula"/>
        <w:tblW w:w="9054" w:type="dxa"/>
        <w:tblLook w:val="04A0" w:firstRow="1" w:lastRow="0" w:firstColumn="1" w:lastColumn="0" w:noHBand="0" w:noVBand="1"/>
      </w:tblPr>
      <w:tblGrid>
        <w:gridCol w:w="4539"/>
        <w:gridCol w:w="1142"/>
        <w:gridCol w:w="1740"/>
        <w:gridCol w:w="1633"/>
      </w:tblGrid>
      <w:tr w:rsidR="003D4582" w:rsidRPr="003D4582" w14:paraId="61B08C46" w14:textId="77777777" w:rsidTr="003D4582">
        <w:trPr>
          <w:trHeight w:val="828"/>
          <w:tblHeader/>
        </w:trPr>
        <w:tc>
          <w:tcPr>
            <w:tcW w:w="4539" w:type="dxa"/>
            <w:vAlign w:val="center"/>
          </w:tcPr>
          <w:p w14:paraId="28652F93" w14:textId="77777777" w:rsidR="003D4582" w:rsidRPr="003D4582" w:rsidRDefault="003D4582" w:rsidP="0064323B">
            <w:pPr>
              <w:jc w:val="center"/>
              <w:rPr>
                <w:rFonts w:ascii="Arial" w:hAnsi="Arial" w:cs="Arial"/>
                <w:sz w:val="22"/>
                <w:szCs w:val="22"/>
              </w:rPr>
            </w:pPr>
            <w:r w:rsidRPr="003D4582">
              <w:rPr>
                <w:rFonts w:ascii="Arial" w:hAnsi="Arial" w:cs="Arial"/>
                <w:b/>
                <w:sz w:val="22"/>
                <w:szCs w:val="22"/>
              </w:rPr>
              <w:t>Biológico / cohorte</w:t>
            </w:r>
          </w:p>
        </w:tc>
        <w:tc>
          <w:tcPr>
            <w:tcW w:w="1142" w:type="dxa"/>
            <w:vAlign w:val="center"/>
          </w:tcPr>
          <w:p w14:paraId="4CDEDAEA" w14:textId="77777777" w:rsidR="003D4582" w:rsidRPr="003D4582" w:rsidRDefault="003D4582" w:rsidP="003D4582">
            <w:pPr>
              <w:jc w:val="center"/>
              <w:rPr>
                <w:rFonts w:ascii="Arial" w:hAnsi="Arial" w:cs="Arial"/>
                <w:sz w:val="22"/>
                <w:szCs w:val="22"/>
              </w:rPr>
            </w:pPr>
            <w:r w:rsidRPr="003D4582">
              <w:rPr>
                <w:rFonts w:ascii="Arial" w:hAnsi="Arial" w:cs="Arial"/>
                <w:b/>
                <w:sz w:val="22"/>
                <w:szCs w:val="22"/>
              </w:rPr>
              <w:t>Meta</w:t>
            </w:r>
          </w:p>
        </w:tc>
        <w:tc>
          <w:tcPr>
            <w:tcW w:w="1740" w:type="dxa"/>
            <w:vAlign w:val="center"/>
          </w:tcPr>
          <w:p w14:paraId="1C812BE9" w14:textId="77777777" w:rsidR="003D4582" w:rsidRPr="003D4582" w:rsidRDefault="003D4582" w:rsidP="003D4582">
            <w:pPr>
              <w:jc w:val="center"/>
              <w:rPr>
                <w:rFonts w:ascii="Arial" w:hAnsi="Arial" w:cs="Arial"/>
                <w:sz w:val="22"/>
                <w:szCs w:val="22"/>
              </w:rPr>
            </w:pPr>
            <w:r w:rsidRPr="003D4582">
              <w:rPr>
                <w:rFonts w:ascii="Arial" w:hAnsi="Arial" w:cs="Arial"/>
                <w:b/>
                <w:sz w:val="22"/>
                <w:szCs w:val="22"/>
              </w:rPr>
              <w:t>Vacunados/as</w:t>
            </w:r>
          </w:p>
        </w:tc>
        <w:tc>
          <w:tcPr>
            <w:tcW w:w="1633" w:type="dxa"/>
            <w:vAlign w:val="center"/>
          </w:tcPr>
          <w:p w14:paraId="227E4883" w14:textId="77777777" w:rsidR="003D4582" w:rsidRPr="003D4582" w:rsidRDefault="003D4582" w:rsidP="003D4582">
            <w:pPr>
              <w:jc w:val="center"/>
              <w:rPr>
                <w:rFonts w:ascii="Arial" w:hAnsi="Arial" w:cs="Arial"/>
                <w:sz w:val="22"/>
                <w:szCs w:val="22"/>
              </w:rPr>
            </w:pPr>
            <w:r w:rsidRPr="003D4582">
              <w:rPr>
                <w:rFonts w:ascii="Arial" w:hAnsi="Arial" w:cs="Arial"/>
                <w:b/>
                <w:sz w:val="22"/>
                <w:szCs w:val="22"/>
              </w:rPr>
              <w:t>Cobertura (%)</w:t>
            </w:r>
          </w:p>
        </w:tc>
      </w:tr>
      <w:tr w:rsidR="003D4582" w:rsidRPr="003D4582" w14:paraId="2540279F" w14:textId="77777777" w:rsidTr="003D4582">
        <w:trPr>
          <w:trHeight w:val="414"/>
        </w:trPr>
        <w:tc>
          <w:tcPr>
            <w:tcW w:w="4539" w:type="dxa"/>
            <w:vAlign w:val="center"/>
          </w:tcPr>
          <w:p w14:paraId="4D024C98" w14:textId="77777777" w:rsidR="003D4582" w:rsidRPr="003D4582" w:rsidRDefault="003D4582" w:rsidP="0064323B">
            <w:pPr>
              <w:rPr>
                <w:rFonts w:ascii="Arial" w:hAnsi="Arial" w:cs="Arial"/>
                <w:sz w:val="22"/>
                <w:szCs w:val="22"/>
              </w:rPr>
            </w:pPr>
            <w:r w:rsidRPr="003D4582">
              <w:rPr>
                <w:rFonts w:ascii="Arial" w:hAnsi="Arial" w:cs="Arial"/>
                <w:sz w:val="22"/>
                <w:szCs w:val="22"/>
              </w:rPr>
              <w:t>Pentavalente, 3.ª dosis, menores de 1 año</w:t>
            </w:r>
          </w:p>
        </w:tc>
        <w:tc>
          <w:tcPr>
            <w:tcW w:w="1142" w:type="dxa"/>
            <w:vAlign w:val="center"/>
          </w:tcPr>
          <w:p w14:paraId="6C414406"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361</w:t>
            </w:r>
          </w:p>
        </w:tc>
        <w:tc>
          <w:tcPr>
            <w:tcW w:w="1740" w:type="dxa"/>
            <w:vAlign w:val="center"/>
          </w:tcPr>
          <w:p w14:paraId="1EDB8E19"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595</w:t>
            </w:r>
          </w:p>
        </w:tc>
        <w:tc>
          <w:tcPr>
            <w:tcW w:w="1633" w:type="dxa"/>
            <w:vAlign w:val="center"/>
          </w:tcPr>
          <w:p w14:paraId="67E7088E" w14:textId="7EFEE52C" w:rsidR="003D4582" w:rsidRPr="003D4582" w:rsidRDefault="003D4582" w:rsidP="003D4582">
            <w:pPr>
              <w:jc w:val="center"/>
              <w:rPr>
                <w:rFonts w:ascii="Arial" w:hAnsi="Arial" w:cs="Arial"/>
                <w:sz w:val="22"/>
                <w:szCs w:val="22"/>
              </w:rPr>
            </w:pPr>
            <w:r w:rsidRPr="003D4582">
              <w:rPr>
                <w:rFonts w:ascii="Arial" w:hAnsi="Arial" w:cs="Arial"/>
                <w:sz w:val="22"/>
                <w:szCs w:val="22"/>
              </w:rPr>
              <w:t>165</w:t>
            </w:r>
          </w:p>
        </w:tc>
      </w:tr>
      <w:tr w:rsidR="003D4582" w:rsidRPr="003D4582" w14:paraId="6EA20E35" w14:textId="77777777" w:rsidTr="003D4582">
        <w:trPr>
          <w:trHeight w:val="414"/>
        </w:trPr>
        <w:tc>
          <w:tcPr>
            <w:tcW w:w="4539" w:type="dxa"/>
            <w:vAlign w:val="center"/>
          </w:tcPr>
          <w:p w14:paraId="293CD827" w14:textId="77777777" w:rsidR="003D4582" w:rsidRPr="003D4582" w:rsidRDefault="003D4582" w:rsidP="0064323B">
            <w:pPr>
              <w:rPr>
                <w:rFonts w:ascii="Arial" w:hAnsi="Arial" w:cs="Arial"/>
                <w:sz w:val="22"/>
                <w:szCs w:val="22"/>
              </w:rPr>
            </w:pPr>
            <w:r w:rsidRPr="003D4582">
              <w:rPr>
                <w:rFonts w:ascii="Arial" w:hAnsi="Arial" w:cs="Arial"/>
                <w:sz w:val="22"/>
                <w:szCs w:val="22"/>
              </w:rPr>
              <w:lastRenderedPageBreak/>
              <w:t>Triple viral, 1.ª dosis, 1 año</w:t>
            </w:r>
          </w:p>
        </w:tc>
        <w:tc>
          <w:tcPr>
            <w:tcW w:w="1142" w:type="dxa"/>
            <w:vAlign w:val="center"/>
          </w:tcPr>
          <w:p w14:paraId="1E3D1E65"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406</w:t>
            </w:r>
          </w:p>
        </w:tc>
        <w:tc>
          <w:tcPr>
            <w:tcW w:w="1740" w:type="dxa"/>
            <w:vAlign w:val="center"/>
          </w:tcPr>
          <w:p w14:paraId="29C3D472"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513</w:t>
            </w:r>
          </w:p>
        </w:tc>
        <w:tc>
          <w:tcPr>
            <w:tcW w:w="1633" w:type="dxa"/>
            <w:vAlign w:val="center"/>
          </w:tcPr>
          <w:p w14:paraId="58B9E564" w14:textId="24EA8545" w:rsidR="003D4582" w:rsidRPr="003D4582" w:rsidRDefault="003D4582" w:rsidP="003D4582">
            <w:pPr>
              <w:jc w:val="center"/>
              <w:rPr>
                <w:rFonts w:ascii="Arial" w:hAnsi="Arial" w:cs="Arial"/>
                <w:sz w:val="22"/>
                <w:szCs w:val="22"/>
              </w:rPr>
            </w:pPr>
            <w:r w:rsidRPr="003D4582">
              <w:rPr>
                <w:rFonts w:ascii="Arial" w:hAnsi="Arial" w:cs="Arial"/>
                <w:sz w:val="22"/>
                <w:szCs w:val="22"/>
              </w:rPr>
              <w:t>126</w:t>
            </w:r>
          </w:p>
        </w:tc>
      </w:tr>
      <w:tr w:rsidR="003D4582" w:rsidRPr="003D4582" w14:paraId="2666CB68" w14:textId="77777777" w:rsidTr="003D4582">
        <w:trPr>
          <w:trHeight w:val="414"/>
        </w:trPr>
        <w:tc>
          <w:tcPr>
            <w:tcW w:w="4539" w:type="dxa"/>
            <w:vAlign w:val="center"/>
          </w:tcPr>
          <w:p w14:paraId="5A080223" w14:textId="77777777" w:rsidR="003D4582" w:rsidRPr="003D4582" w:rsidRDefault="003D4582" w:rsidP="0064323B">
            <w:pPr>
              <w:rPr>
                <w:rFonts w:ascii="Arial" w:hAnsi="Arial" w:cs="Arial"/>
                <w:sz w:val="22"/>
                <w:szCs w:val="22"/>
              </w:rPr>
            </w:pPr>
            <w:r w:rsidRPr="003D4582">
              <w:rPr>
                <w:rFonts w:ascii="Arial" w:hAnsi="Arial" w:cs="Arial"/>
                <w:sz w:val="22"/>
                <w:szCs w:val="22"/>
              </w:rPr>
              <w:t>Triple viral, refuerzo, 18 a 23 meses</w:t>
            </w:r>
          </w:p>
        </w:tc>
        <w:tc>
          <w:tcPr>
            <w:tcW w:w="1142" w:type="dxa"/>
            <w:vAlign w:val="center"/>
          </w:tcPr>
          <w:p w14:paraId="0046CE5D"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406</w:t>
            </w:r>
          </w:p>
        </w:tc>
        <w:tc>
          <w:tcPr>
            <w:tcW w:w="1740" w:type="dxa"/>
            <w:vAlign w:val="center"/>
          </w:tcPr>
          <w:p w14:paraId="37676A80"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421</w:t>
            </w:r>
          </w:p>
        </w:tc>
        <w:tc>
          <w:tcPr>
            <w:tcW w:w="1633" w:type="dxa"/>
            <w:vAlign w:val="center"/>
          </w:tcPr>
          <w:p w14:paraId="156D8A7E" w14:textId="3C2CB431" w:rsidR="003D4582" w:rsidRPr="003D4582" w:rsidRDefault="003D4582" w:rsidP="003D4582">
            <w:pPr>
              <w:jc w:val="center"/>
              <w:rPr>
                <w:rFonts w:ascii="Arial" w:hAnsi="Arial" w:cs="Arial"/>
                <w:sz w:val="22"/>
                <w:szCs w:val="22"/>
              </w:rPr>
            </w:pPr>
            <w:r w:rsidRPr="003D4582">
              <w:rPr>
                <w:rFonts w:ascii="Arial" w:hAnsi="Arial" w:cs="Arial"/>
                <w:sz w:val="22"/>
                <w:szCs w:val="22"/>
              </w:rPr>
              <w:t>104</w:t>
            </w:r>
          </w:p>
        </w:tc>
      </w:tr>
      <w:tr w:rsidR="003D4582" w:rsidRPr="003D4582" w14:paraId="39FAE916" w14:textId="77777777" w:rsidTr="003D4582">
        <w:trPr>
          <w:trHeight w:val="414"/>
        </w:trPr>
        <w:tc>
          <w:tcPr>
            <w:tcW w:w="4539" w:type="dxa"/>
            <w:vAlign w:val="center"/>
          </w:tcPr>
          <w:p w14:paraId="50962122" w14:textId="77777777" w:rsidR="003D4582" w:rsidRPr="003D4582" w:rsidRDefault="003D4582" w:rsidP="0064323B">
            <w:pPr>
              <w:rPr>
                <w:rFonts w:ascii="Arial" w:hAnsi="Arial" w:cs="Arial"/>
                <w:sz w:val="22"/>
                <w:szCs w:val="22"/>
              </w:rPr>
            </w:pPr>
            <w:r w:rsidRPr="003D4582">
              <w:rPr>
                <w:rFonts w:ascii="Arial" w:hAnsi="Arial" w:cs="Arial"/>
                <w:sz w:val="22"/>
                <w:szCs w:val="22"/>
              </w:rPr>
              <w:t>Fiebre amarilla, 18 a 23 meses</w:t>
            </w:r>
          </w:p>
        </w:tc>
        <w:tc>
          <w:tcPr>
            <w:tcW w:w="1142" w:type="dxa"/>
            <w:vAlign w:val="center"/>
          </w:tcPr>
          <w:p w14:paraId="2A81F2B7"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406</w:t>
            </w:r>
          </w:p>
        </w:tc>
        <w:tc>
          <w:tcPr>
            <w:tcW w:w="1740" w:type="dxa"/>
            <w:vAlign w:val="center"/>
          </w:tcPr>
          <w:p w14:paraId="56491665"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508</w:t>
            </w:r>
          </w:p>
        </w:tc>
        <w:tc>
          <w:tcPr>
            <w:tcW w:w="1633" w:type="dxa"/>
            <w:vAlign w:val="center"/>
          </w:tcPr>
          <w:p w14:paraId="4CECF835" w14:textId="7A6B8104" w:rsidR="003D4582" w:rsidRPr="003D4582" w:rsidRDefault="003D4582" w:rsidP="003D4582">
            <w:pPr>
              <w:jc w:val="center"/>
              <w:rPr>
                <w:rFonts w:ascii="Arial" w:hAnsi="Arial" w:cs="Arial"/>
                <w:sz w:val="22"/>
                <w:szCs w:val="22"/>
              </w:rPr>
            </w:pPr>
            <w:r w:rsidRPr="003D4582">
              <w:rPr>
                <w:rFonts w:ascii="Arial" w:hAnsi="Arial" w:cs="Arial"/>
                <w:sz w:val="22"/>
                <w:szCs w:val="22"/>
              </w:rPr>
              <w:t>125</w:t>
            </w:r>
          </w:p>
        </w:tc>
      </w:tr>
      <w:tr w:rsidR="003D4582" w:rsidRPr="003D4582" w14:paraId="5BAABABD" w14:textId="77777777" w:rsidTr="003D4582">
        <w:trPr>
          <w:trHeight w:val="394"/>
        </w:trPr>
        <w:tc>
          <w:tcPr>
            <w:tcW w:w="4539" w:type="dxa"/>
            <w:vAlign w:val="center"/>
          </w:tcPr>
          <w:p w14:paraId="69CCD70B" w14:textId="77777777" w:rsidR="003D4582" w:rsidRPr="003D4582" w:rsidRDefault="003D4582" w:rsidP="0064323B">
            <w:pPr>
              <w:rPr>
                <w:rFonts w:ascii="Arial" w:hAnsi="Arial" w:cs="Arial"/>
                <w:sz w:val="22"/>
                <w:szCs w:val="22"/>
              </w:rPr>
            </w:pPr>
            <w:r w:rsidRPr="003D4582">
              <w:rPr>
                <w:rFonts w:ascii="Arial" w:hAnsi="Arial" w:cs="Arial"/>
                <w:sz w:val="22"/>
                <w:szCs w:val="22"/>
              </w:rPr>
              <w:t>DPT, segundo refuerzo, 5 años</w:t>
            </w:r>
          </w:p>
        </w:tc>
        <w:tc>
          <w:tcPr>
            <w:tcW w:w="1142" w:type="dxa"/>
            <w:vAlign w:val="center"/>
          </w:tcPr>
          <w:p w14:paraId="7262A9F8"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487</w:t>
            </w:r>
          </w:p>
        </w:tc>
        <w:tc>
          <w:tcPr>
            <w:tcW w:w="1740" w:type="dxa"/>
            <w:vAlign w:val="center"/>
          </w:tcPr>
          <w:p w14:paraId="4E1F7B4A" w14:textId="77777777" w:rsidR="003D4582" w:rsidRPr="003D4582" w:rsidRDefault="003D4582" w:rsidP="003D4582">
            <w:pPr>
              <w:jc w:val="center"/>
              <w:rPr>
                <w:rFonts w:ascii="Arial" w:hAnsi="Arial" w:cs="Arial"/>
                <w:sz w:val="22"/>
                <w:szCs w:val="22"/>
              </w:rPr>
            </w:pPr>
            <w:r w:rsidRPr="003D4582">
              <w:rPr>
                <w:rFonts w:ascii="Arial" w:hAnsi="Arial" w:cs="Arial"/>
                <w:sz w:val="22"/>
                <w:szCs w:val="22"/>
              </w:rPr>
              <w:t>399</w:t>
            </w:r>
          </w:p>
        </w:tc>
        <w:tc>
          <w:tcPr>
            <w:tcW w:w="1633" w:type="dxa"/>
            <w:vAlign w:val="center"/>
          </w:tcPr>
          <w:p w14:paraId="28C9AAD0" w14:textId="25D8E630" w:rsidR="003D4582" w:rsidRPr="003D4582" w:rsidRDefault="003D4582" w:rsidP="003D4582">
            <w:pPr>
              <w:jc w:val="center"/>
              <w:rPr>
                <w:rFonts w:ascii="Arial" w:hAnsi="Arial" w:cs="Arial"/>
                <w:sz w:val="22"/>
                <w:szCs w:val="22"/>
              </w:rPr>
            </w:pPr>
            <w:r w:rsidRPr="003D4582">
              <w:rPr>
                <w:rFonts w:ascii="Arial" w:hAnsi="Arial" w:cs="Arial"/>
                <w:sz w:val="22"/>
                <w:szCs w:val="22"/>
              </w:rPr>
              <w:t>82</w:t>
            </w:r>
          </w:p>
        </w:tc>
      </w:tr>
    </w:tbl>
    <w:p w14:paraId="524ABDBD" w14:textId="77777777" w:rsidR="003D4582" w:rsidRDefault="003D4582" w:rsidP="006068A2">
      <w:pPr>
        <w:spacing w:line="360" w:lineRule="auto"/>
        <w:jc w:val="both"/>
        <w:rPr>
          <w:rFonts w:ascii="Arial" w:hAnsi="Arial" w:cs="Arial"/>
          <w:bCs/>
          <w:sz w:val="16"/>
          <w:szCs w:val="16"/>
        </w:rPr>
      </w:pPr>
    </w:p>
    <w:p w14:paraId="17AA470D" w14:textId="53AF51D3" w:rsidR="000E5255" w:rsidRPr="00507B91" w:rsidRDefault="000E5255" w:rsidP="006068A2">
      <w:pPr>
        <w:spacing w:line="360" w:lineRule="auto"/>
        <w:jc w:val="both"/>
        <w:rPr>
          <w:rFonts w:ascii="Arial" w:hAnsi="Arial" w:cs="Arial"/>
          <w:bCs/>
          <w:color w:val="C00000"/>
          <w:sz w:val="16"/>
          <w:szCs w:val="16"/>
          <w:lang w:val="es-ES"/>
        </w:rPr>
      </w:pPr>
      <w:r w:rsidRPr="00507B91">
        <w:rPr>
          <w:rFonts w:ascii="Arial" w:hAnsi="Arial" w:cs="Arial"/>
          <w:bCs/>
          <w:sz w:val="16"/>
          <w:szCs w:val="16"/>
        </w:rPr>
        <w:t xml:space="preserve">Fuente: </w:t>
      </w:r>
      <w:r w:rsidR="003D4582" w:rsidRPr="003D4582">
        <w:rPr>
          <w:rFonts w:ascii="Arial" w:hAnsi="Arial" w:cs="Arial"/>
          <w:bCs/>
          <w:sz w:val="16"/>
          <w:szCs w:val="16"/>
        </w:rPr>
        <w:t>BDUA de Subsecretaría de Aseguramiento, corte a 31 de diciembre de 2025; Tablero de control de vacunación trazadores de 0 a 5 años; Aplicativo PAI 2.5 SDS; Sistema de Información PAI; Secretaría Distrital de Salud, Bogotá, enero-diciembre de 2025.</w:t>
      </w:r>
    </w:p>
    <w:p w14:paraId="7A74825B" w14:textId="77777777" w:rsidR="000E5255" w:rsidRPr="00507B91" w:rsidRDefault="000E5255" w:rsidP="006068A2">
      <w:pPr>
        <w:spacing w:line="360" w:lineRule="auto"/>
        <w:jc w:val="both"/>
        <w:rPr>
          <w:rFonts w:ascii="Arial" w:hAnsi="Arial" w:cs="Arial"/>
          <w:bCs/>
          <w:color w:val="C00000"/>
          <w:sz w:val="22"/>
          <w:szCs w:val="22"/>
        </w:rPr>
      </w:pPr>
    </w:p>
    <w:p w14:paraId="605F6FB2" w14:textId="77777777" w:rsidR="0044359F" w:rsidRPr="0044359F" w:rsidRDefault="0044359F" w:rsidP="0044359F">
      <w:pPr>
        <w:spacing w:line="360" w:lineRule="auto"/>
        <w:jc w:val="both"/>
        <w:rPr>
          <w:rFonts w:ascii="Arial" w:hAnsi="Arial" w:cs="Arial"/>
          <w:bCs/>
          <w:sz w:val="22"/>
          <w:szCs w:val="22"/>
        </w:rPr>
      </w:pPr>
      <w:r w:rsidRPr="0044359F">
        <w:rPr>
          <w:rFonts w:ascii="Arial" w:hAnsi="Arial" w:cs="Arial"/>
          <w:bCs/>
          <w:sz w:val="22"/>
          <w:szCs w:val="22"/>
        </w:rPr>
        <w:t>De acuerdo con los resultados obtenidos a diciembre de 2025, COOSALUD EPS alcanzó coberturas superiores a la meta programada en cuatro de los cinco trazadores analizados del Programa Ampliado de Inmunizaciones (PAI) en población infantil. En particular, se observa un cumplimiento de 165% en la tercera dosis de pentavalente en menores de un año, 126% en la primera dosis de triple viral al año de edad, 104% en el refuerzo de triple viral entre los 18 y 23 meses, y 125% en la vacuna de fiebre amarilla para este mismo grupo etario. Estos resultados indican una capacidad importante de captación y vacunación de la población susceptible, aunque las coberturas superiores al 100% deben interpretarse con cautela, dado que pueden reflejar recuperación de rezagos, actualización de cohortes, diferencias entre la población meta proyectada y la población efectivamente vacunada, o dinámicas de captación extramural.</w:t>
      </w:r>
    </w:p>
    <w:p w14:paraId="484CE844" w14:textId="77777777" w:rsidR="0044359F" w:rsidRPr="0044359F" w:rsidRDefault="0044359F" w:rsidP="0044359F">
      <w:pPr>
        <w:spacing w:line="360" w:lineRule="auto"/>
        <w:jc w:val="both"/>
        <w:rPr>
          <w:rFonts w:ascii="Arial" w:hAnsi="Arial" w:cs="Arial"/>
          <w:bCs/>
          <w:sz w:val="22"/>
          <w:szCs w:val="22"/>
        </w:rPr>
      </w:pPr>
    </w:p>
    <w:p w14:paraId="4977420F" w14:textId="77777777" w:rsidR="0044359F" w:rsidRPr="0044359F" w:rsidRDefault="0044359F" w:rsidP="0044359F">
      <w:pPr>
        <w:spacing w:line="360" w:lineRule="auto"/>
        <w:jc w:val="both"/>
        <w:rPr>
          <w:rFonts w:ascii="Arial" w:hAnsi="Arial" w:cs="Arial"/>
          <w:bCs/>
          <w:sz w:val="22"/>
          <w:szCs w:val="22"/>
        </w:rPr>
      </w:pPr>
      <w:r w:rsidRPr="0044359F">
        <w:rPr>
          <w:rFonts w:ascii="Arial" w:hAnsi="Arial" w:cs="Arial"/>
          <w:bCs/>
          <w:sz w:val="22"/>
          <w:szCs w:val="22"/>
        </w:rPr>
        <w:t>No obstante, el comportamiento del trazador correspondiente al segundo refuerzo de DPT a los 5 años evidencia una brecha relevante, al registrar una cobertura de 82%, con 399 niños y niñas vacunados frente a una meta de 487. Este resultado se ubica por debajo del umbral esperado para el cierre anual y constituye el principal rezago identificado en este grupo de trazadores, lo que resalta la necesidad de fortalecer las estrategias de demanda inducida, búsqueda activa de susceptibles y seguimiento nominal de cohortes, especialmente en población infantil próxima al cierre del esquema.</w:t>
      </w:r>
    </w:p>
    <w:p w14:paraId="7F2E0C9E" w14:textId="77777777" w:rsidR="0044359F" w:rsidRPr="0044359F" w:rsidRDefault="0044359F" w:rsidP="0044359F">
      <w:pPr>
        <w:spacing w:line="360" w:lineRule="auto"/>
        <w:jc w:val="both"/>
        <w:rPr>
          <w:rFonts w:ascii="Arial" w:hAnsi="Arial" w:cs="Arial"/>
          <w:bCs/>
          <w:sz w:val="22"/>
          <w:szCs w:val="22"/>
        </w:rPr>
      </w:pPr>
    </w:p>
    <w:p w14:paraId="0BDDCDF5" w14:textId="24A6FB11" w:rsidR="000E5255" w:rsidRDefault="0044359F" w:rsidP="0044359F">
      <w:pPr>
        <w:spacing w:line="360" w:lineRule="auto"/>
        <w:jc w:val="both"/>
        <w:rPr>
          <w:rFonts w:ascii="Arial" w:hAnsi="Arial" w:cs="Arial"/>
          <w:bCs/>
          <w:sz w:val="22"/>
          <w:szCs w:val="22"/>
        </w:rPr>
      </w:pPr>
      <w:r w:rsidRPr="0044359F">
        <w:rPr>
          <w:rFonts w:ascii="Arial" w:hAnsi="Arial" w:cs="Arial"/>
          <w:bCs/>
          <w:sz w:val="22"/>
          <w:szCs w:val="22"/>
        </w:rPr>
        <w:t xml:space="preserve">En términos generales, los hallazgos muestran un desempeño favorable en la mayoría de los biológicos trazadores, pero también evidencian la necesidad de profundizar el análisis </w:t>
      </w:r>
      <w:r w:rsidRPr="0044359F">
        <w:rPr>
          <w:rFonts w:ascii="Arial" w:hAnsi="Arial" w:cs="Arial"/>
          <w:bCs/>
          <w:sz w:val="22"/>
          <w:szCs w:val="22"/>
        </w:rPr>
        <w:lastRenderedPageBreak/>
        <w:t>de las metas programadas y de la consistencia entre denominadores poblacionales y coberturas alcanzadas, con el fin de garantizar una lectura más precisa del comportamiento vacunal de la EAPB. En este sentido, el resultado observado para DPT a los 5 años debe ser objeto de seguimiento prioritario, mientras que las coberturas superiores al 100% en otros trazadores invitan a revisar la depuración nominal de las cohortes y la planeación de metas para la vigencia siguiente, de manera que el monitoreo del programa se mantenga alineado con la realidad poblacional de los afiliados en Bogotá D. C.</w:t>
      </w:r>
    </w:p>
    <w:p w14:paraId="466DCA4F" w14:textId="77777777" w:rsidR="0044359F" w:rsidRPr="00611BA9" w:rsidRDefault="0044359F" w:rsidP="00611BA9">
      <w:pPr>
        <w:spacing w:line="360" w:lineRule="auto"/>
        <w:jc w:val="both"/>
        <w:rPr>
          <w:rFonts w:ascii="Arial" w:hAnsi="Arial" w:cs="Arial"/>
          <w:bCs/>
          <w:sz w:val="22"/>
          <w:szCs w:val="22"/>
        </w:rPr>
      </w:pPr>
    </w:p>
    <w:p w14:paraId="75E5B128" w14:textId="43635709" w:rsidR="00611BA9" w:rsidRPr="00F82F72" w:rsidRDefault="00611BA9" w:rsidP="00F82F72">
      <w:pPr>
        <w:pStyle w:val="Ttulo2"/>
        <w:numPr>
          <w:ilvl w:val="2"/>
          <w:numId w:val="21"/>
        </w:numPr>
        <w:spacing w:before="0" w:line="360" w:lineRule="auto"/>
        <w:jc w:val="both"/>
        <w:rPr>
          <w:rFonts w:ascii="Arial" w:hAnsi="Arial" w:cs="Arial"/>
          <w:b/>
          <w:color w:val="auto"/>
          <w:sz w:val="22"/>
          <w:szCs w:val="22"/>
        </w:rPr>
      </w:pPr>
      <w:bookmarkStart w:id="46" w:name="_Toc229397847"/>
      <w:bookmarkEnd w:id="43"/>
      <w:r w:rsidRPr="00611BA9">
        <w:rPr>
          <w:rFonts w:ascii="Arial" w:hAnsi="Arial" w:cs="Arial"/>
          <w:b/>
          <w:color w:val="auto"/>
          <w:sz w:val="22"/>
          <w:szCs w:val="22"/>
        </w:rPr>
        <w:t>Triple viral de 1 año</w:t>
      </w:r>
      <w:bookmarkEnd w:id="46"/>
    </w:p>
    <w:p w14:paraId="60A5D7CA" w14:textId="77777777" w:rsidR="00611BA9" w:rsidRDefault="00611BA9" w:rsidP="00611BA9">
      <w:pPr>
        <w:spacing w:line="360" w:lineRule="auto"/>
        <w:jc w:val="both"/>
        <w:rPr>
          <w:rFonts w:ascii="Arial" w:hAnsi="Arial" w:cs="Arial"/>
          <w:sz w:val="22"/>
          <w:szCs w:val="22"/>
        </w:rPr>
      </w:pPr>
    </w:p>
    <w:p w14:paraId="07CA44B2" w14:textId="1341DC1C"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En la cohorte de niños y niñas de 1 año, COOSALUD EPS reportó una cobertura de 126,0% para la primera dosis de triple viral, al registrar 513 vacunados/as frente a una meta de 406. Este resultado supera ampliamente el umbral programático esperado y, en principio, constituye un indicador favorable de captación y vacunación efectiva de la cohorte susceptible frente a sarampión, rubéola y parotiditis.</w:t>
      </w:r>
    </w:p>
    <w:p w14:paraId="1F35A13F" w14:textId="77777777" w:rsidR="00611BA9" w:rsidRPr="00611BA9" w:rsidRDefault="00611BA9" w:rsidP="00611BA9">
      <w:pPr>
        <w:spacing w:line="360" w:lineRule="auto"/>
        <w:jc w:val="both"/>
        <w:rPr>
          <w:rFonts w:ascii="Arial" w:hAnsi="Arial" w:cs="Arial"/>
          <w:sz w:val="22"/>
          <w:szCs w:val="22"/>
        </w:rPr>
      </w:pPr>
    </w:p>
    <w:p w14:paraId="75BA0933"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No obstante, una cobertura superior al 100% debe interpretarse con cautela. Más que asumirse automáticamente como sobrecumplimiento, puede reflejar vacunación de rezagos, captación extramural, depuración nominal o diferencias entre la meta proyectada y la población efectivamente vacunada. En ese sentido, aunque el resultado es positivo desde el punto de vista operativo, conviene complementarlo con verificación nominal de cohortes y con revisión de la consistencia entre meta poblacional y universo vacunado, a fin de fortalecer la trazabilidad del dato y su utilidad en la planeación de la siguiente vigencia.</w:t>
      </w:r>
    </w:p>
    <w:p w14:paraId="76533D7A" w14:textId="77777777" w:rsidR="00611BA9" w:rsidRPr="00611BA9" w:rsidRDefault="00611BA9" w:rsidP="00611BA9">
      <w:pPr>
        <w:spacing w:line="360" w:lineRule="auto"/>
        <w:jc w:val="both"/>
        <w:rPr>
          <w:rFonts w:ascii="Arial" w:hAnsi="Arial" w:cs="Arial"/>
          <w:sz w:val="22"/>
          <w:szCs w:val="22"/>
        </w:rPr>
      </w:pPr>
    </w:p>
    <w:p w14:paraId="7CFFCDA1" w14:textId="5CAFD6CF" w:rsidR="00611BA9" w:rsidRPr="00F82F72" w:rsidRDefault="00611BA9" w:rsidP="00F82F72">
      <w:pPr>
        <w:pStyle w:val="Ttulo2"/>
        <w:numPr>
          <w:ilvl w:val="2"/>
          <w:numId w:val="21"/>
        </w:numPr>
        <w:spacing w:before="0" w:line="360" w:lineRule="auto"/>
        <w:jc w:val="both"/>
        <w:rPr>
          <w:rFonts w:ascii="Arial" w:hAnsi="Arial" w:cs="Arial"/>
          <w:b/>
          <w:color w:val="auto"/>
          <w:sz w:val="22"/>
          <w:szCs w:val="22"/>
        </w:rPr>
      </w:pPr>
      <w:bookmarkStart w:id="47" w:name="_Toc229397848"/>
      <w:r w:rsidRPr="00611BA9">
        <w:rPr>
          <w:rFonts w:ascii="Arial" w:hAnsi="Arial" w:cs="Arial"/>
          <w:b/>
          <w:color w:val="auto"/>
          <w:sz w:val="22"/>
          <w:szCs w:val="22"/>
        </w:rPr>
        <w:t>Triple viral de 18–23 meses: trazador funcional del cierre de esquema para sarampión-rubéola</w:t>
      </w:r>
      <w:bookmarkEnd w:id="47"/>
    </w:p>
    <w:p w14:paraId="3EB513D7" w14:textId="77777777" w:rsidR="00F82F72" w:rsidRDefault="00F82F72" w:rsidP="00611BA9">
      <w:pPr>
        <w:spacing w:line="360" w:lineRule="auto"/>
        <w:jc w:val="both"/>
        <w:rPr>
          <w:rFonts w:ascii="Arial" w:hAnsi="Arial" w:cs="Arial"/>
          <w:sz w:val="22"/>
          <w:szCs w:val="22"/>
        </w:rPr>
      </w:pPr>
    </w:p>
    <w:p w14:paraId="7C808D19" w14:textId="60D0A0C8"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Para la cohorte de 18 a 23 meses, COOSALUD EPS reportó una cobertura de 104,0% en el refuerzo de triple viral, con 421 vacunados/as frente a una meta de 406. Este resultado indica que, en el trazador funcional del cierre temprano del esquema, la EAPB logró superar la meta acumulada esperada, lo cual es favorable desde el punto de vista del fortalecimiento de la inmunidad poblacional y del cierre oportuno de esquemas en la primera infancia.</w:t>
      </w:r>
    </w:p>
    <w:p w14:paraId="4115C6EF" w14:textId="77777777" w:rsidR="00F82F72" w:rsidRPr="00611BA9" w:rsidRDefault="00F82F72" w:rsidP="00611BA9">
      <w:pPr>
        <w:spacing w:line="360" w:lineRule="auto"/>
        <w:jc w:val="both"/>
        <w:rPr>
          <w:rFonts w:ascii="Arial" w:hAnsi="Arial" w:cs="Arial"/>
          <w:sz w:val="22"/>
          <w:szCs w:val="22"/>
        </w:rPr>
      </w:pPr>
    </w:p>
    <w:p w14:paraId="6AB202C6" w14:textId="69D7F9D1" w:rsidR="00611BA9" w:rsidRDefault="00611BA9" w:rsidP="00611BA9">
      <w:pPr>
        <w:spacing w:line="360" w:lineRule="auto"/>
        <w:jc w:val="both"/>
        <w:rPr>
          <w:rFonts w:ascii="Arial" w:hAnsi="Arial" w:cs="Arial"/>
          <w:sz w:val="22"/>
          <w:szCs w:val="22"/>
        </w:rPr>
      </w:pPr>
      <w:r w:rsidRPr="00611BA9">
        <w:rPr>
          <w:rFonts w:ascii="Arial" w:hAnsi="Arial" w:cs="Arial"/>
          <w:sz w:val="22"/>
          <w:szCs w:val="22"/>
        </w:rPr>
        <w:lastRenderedPageBreak/>
        <w:t xml:space="preserve">Sin embargo, el desempeño del refuerzo de triple viral debe contrastarse con el comportamiento de la cobertura de sarampión-rubéola en cohortes más amplias. El mismo informe reporta para COOSALUD </w:t>
      </w:r>
      <w:r w:rsidR="00237C6E">
        <w:rPr>
          <w:rFonts w:ascii="Arial" w:hAnsi="Arial" w:cs="Arial"/>
          <w:sz w:val="22"/>
          <w:szCs w:val="22"/>
        </w:rPr>
        <w:t xml:space="preserve">EPS </w:t>
      </w:r>
      <w:r w:rsidRPr="00611BA9">
        <w:rPr>
          <w:rFonts w:ascii="Arial" w:hAnsi="Arial" w:cs="Arial"/>
          <w:sz w:val="22"/>
          <w:szCs w:val="22"/>
        </w:rPr>
        <w:t>una cobertura de 91,6% en la vacunación contra sarampión-rubéola en las cohortes de nacimiento 2010–2019, con 2.403 personas vacunadas frente a una meta de 2.624, quedando 221 susceptibles pendientes por captar. Aunque este resultado es alto, permanece por debajo del umbral de 95% considerado necesario para interrumpir la transmisión y reducir el riesgo de brotes.</w:t>
      </w:r>
    </w:p>
    <w:p w14:paraId="3A59B17A" w14:textId="77777777" w:rsidR="004B3024" w:rsidRPr="008468A5" w:rsidRDefault="004B3024" w:rsidP="00611BA9">
      <w:pPr>
        <w:spacing w:line="360" w:lineRule="auto"/>
        <w:jc w:val="both"/>
        <w:rPr>
          <w:rFonts w:ascii="Arial" w:hAnsi="Arial" w:cs="Arial"/>
          <w:sz w:val="28"/>
          <w:szCs w:val="28"/>
        </w:rPr>
      </w:pPr>
    </w:p>
    <w:p w14:paraId="69CE9C46" w14:textId="512C463F" w:rsidR="008468A5" w:rsidRDefault="008468A5" w:rsidP="008468A5">
      <w:pPr>
        <w:pStyle w:val="Descripcin"/>
        <w:keepNext/>
      </w:pPr>
      <w:bookmarkStart w:id="48" w:name="_Toc229395871"/>
      <w:r w:rsidRPr="008468A5">
        <w:rPr>
          <w:rFonts w:ascii="Arial" w:hAnsi="Arial" w:cs="Arial"/>
          <w:i w:val="0"/>
          <w:iCs w:val="0"/>
          <w:color w:val="auto"/>
          <w:sz w:val="22"/>
          <w:szCs w:val="22"/>
        </w:rPr>
        <w:t xml:space="preserve">Tabla </w:t>
      </w:r>
      <w:r w:rsidRPr="008468A5">
        <w:rPr>
          <w:rFonts w:ascii="Arial" w:hAnsi="Arial" w:cs="Arial"/>
          <w:i w:val="0"/>
          <w:iCs w:val="0"/>
          <w:color w:val="auto"/>
          <w:sz w:val="22"/>
          <w:szCs w:val="22"/>
        </w:rPr>
        <w:fldChar w:fldCharType="begin"/>
      </w:r>
      <w:r w:rsidRPr="008468A5">
        <w:rPr>
          <w:rFonts w:ascii="Arial" w:hAnsi="Arial" w:cs="Arial"/>
          <w:i w:val="0"/>
          <w:iCs w:val="0"/>
          <w:color w:val="auto"/>
          <w:sz w:val="22"/>
          <w:szCs w:val="22"/>
        </w:rPr>
        <w:instrText xml:space="preserve"> SEQ Tabla \* ARABIC </w:instrText>
      </w:r>
      <w:r w:rsidRPr="008468A5">
        <w:rPr>
          <w:rFonts w:ascii="Arial" w:hAnsi="Arial" w:cs="Arial"/>
          <w:i w:val="0"/>
          <w:iCs w:val="0"/>
          <w:color w:val="auto"/>
          <w:sz w:val="22"/>
          <w:szCs w:val="22"/>
        </w:rPr>
        <w:fldChar w:fldCharType="separate"/>
      </w:r>
      <w:r w:rsidR="00CB6C8D">
        <w:rPr>
          <w:rFonts w:ascii="Arial" w:hAnsi="Arial" w:cs="Arial"/>
          <w:i w:val="0"/>
          <w:iCs w:val="0"/>
          <w:noProof/>
          <w:color w:val="auto"/>
          <w:sz w:val="22"/>
          <w:szCs w:val="22"/>
        </w:rPr>
        <w:t>14</w:t>
      </w:r>
      <w:r w:rsidRPr="008468A5">
        <w:rPr>
          <w:rFonts w:ascii="Arial" w:hAnsi="Arial" w:cs="Arial"/>
          <w:i w:val="0"/>
          <w:iCs w:val="0"/>
          <w:color w:val="auto"/>
          <w:sz w:val="22"/>
          <w:szCs w:val="22"/>
        </w:rPr>
        <w:fldChar w:fldCharType="end"/>
      </w:r>
      <w:r w:rsidRPr="008468A5">
        <w:rPr>
          <w:rFonts w:ascii="Arial" w:hAnsi="Arial" w:cs="Arial"/>
          <w:i w:val="0"/>
          <w:iCs w:val="0"/>
          <w:color w:val="auto"/>
          <w:sz w:val="22"/>
          <w:szCs w:val="22"/>
        </w:rPr>
        <w:t>: Cobertura de sarampión-rubéola por cohortes de nacimiento. COOSALUD EPS, Bogotá D. C., 2025</w:t>
      </w:r>
      <w:bookmarkEnd w:id="48"/>
    </w:p>
    <w:tbl>
      <w:tblPr>
        <w:tblStyle w:val="Tablaconcuadrcula"/>
        <w:tblW w:w="0" w:type="auto"/>
        <w:jc w:val="center"/>
        <w:tblLook w:val="04A0" w:firstRow="1" w:lastRow="0" w:firstColumn="1" w:lastColumn="0" w:noHBand="0" w:noVBand="1"/>
      </w:tblPr>
      <w:tblGrid>
        <w:gridCol w:w="3069"/>
        <w:gridCol w:w="1005"/>
        <w:gridCol w:w="1692"/>
        <w:gridCol w:w="1482"/>
        <w:gridCol w:w="1580"/>
      </w:tblGrid>
      <w:tr w:rsidR="00611BA9" w:rsidRPr="00611BA9" w14:paraId="669BB3FC" w14:textId="77777777" w:rsidTr="006D51DB">
        <w:trPr>
          <w:tblHeader/>
          <w:jc w:val="center"/>
        </w:trPr>
        <w:tc>
          <w:tcPr>
            <w:tcW w:w="3069" w:type="dxa"/>
            <w:shd w:val="clear" w:color="auto" w:fill="FFFFFF" w:themeFill="background1"/>
            <w:vAlign w:val="center"/>
          </w:tcPr>
          <w:p w14:paraId="79DA2BC0"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b/>
                <w:sz w:val="22"/>
                <w:szCs w:val="22"/>
              </w:rPr>
              <w:t>Cohorte / biológico</w:t>
            </w:r>
          </w:p>
        </w:tc>
        <w:tc>
          <w:tcPr>
            <w:tcW w:w="1005" w:type="dxa"/>
            <w:shd w:val="clear" w:color="auto" w:fill="FFFFFF" w:themeFill="background1"/>
            <w:vAlign w:val="center"/>
          </w:tcPr>
          <w:p w14:paraId="41CD634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Meta</w:t>
            </w:r>
          </w:p>
        </w:tc>
        <w:tc>
          <w:tcPr>
            <w:tcW w:w="1692" w:type="dxa"/>
            <w:shd w:val="clear" w:color="auto" w:fill="FFFFFF" w:themeFill="background1"/>
            <w:vAlign w:val="center"/>
          </w:tcPr>
          <w:p w14:paraId="7F67793B"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Vacunados/as</w:t>
            </w:r>
          </w:p>
        </w:tc>
        <w:tc>
          <w:tcPr>
            <w:tcW w:w="1482" w:type="dxa"/>
            <w:shd w:val="clear" w:color="auto" w:fill="FFFFFF" w:themeFill="background1"/>
            <w:vAlign w:val="center"/>
          </w:tcPr>
          <w:p w14:paraId="3FA2BABA"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Cobertura (%)</w:t>
            </w:r>
          </w:p>
        </w:tc>
        <w:tc>
          <w:tcPr>
            <w:tcW w:w="1580" w:type="dxa"/>
            <w:shd w:val="clear" w:color="auto" w:fill="FFFFFF" w:themeFill="background1"/>
            <w:vAlign w:val="center"/>
          </w:tcPr>
          <w:p w14:paraId="60E259CB"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Susceptibles</w:t>
            </w:r>
          </w:p>
        </w:tc>
      </w:tr>
      <w:tr w:rsidR="00611BA9" w:rsidRPr="00611BA9" w14:paraId="73077554" w14:textId="77777777" w:rsidTr="008468A5">
        <w:trPr>
          <w:jc w:val="center"/>
        </w:trPr>
        <w:tc>
          <w:tcPr>
            <w:tcW w:w="3069" w:type="dxa"/>
          </w:tcPr>
          <w:p w14:paraId="7E54B252"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Sarampión-rubéola, cohortes 2010–2019</w:t>
            </w:r>
          </w:p>
        </w:tc>
        <w:tc>
          <w:tcPr>
            <w:tcW w:w="1005" w:type="dxa"/>
          </w:tcPr>
          <w:p w14:paraId="1249E396"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2.624</w:t>
            </w:r>
          </w:p>
        </w:tc>
        <w:tc>
          <w:tcPr>
            <w:tcW w:w="1692" w:type="dxa"/>
          </w:tcPr>
          <w:p w14:paraId="37ACA545"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2.403</w:t>
            </w:r>
          </w:p>
        </w:tc>
        <w:tc>
          <w:tcPr>
            <w:tcW w:w="1482" w:type="dxa"/>
          </w:tcPr>
          <w:p w14:paraId="754D0F3F"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91,6</w:t>
            </w:r>
          </w:p>
        </w:tc>
        <w:tc>
          <w:tcPr>
            <w:tcW w:w="1580" w:type="dxa"/>
          </w:tcPr>
          <w:p w14:paraId="284ED328"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221</w:t>
            </w:r>
          </w:p>
        </w:tc>
      </w:tr>
    </w:tbl>
    <w:p w14:paraId="002D0284" w14:textId="77777777" w:rsidR="00611BA9" w:rsidRPr="008468A5" w:rsidRDefault="00611BA9" w:rsidP="008468A5">
      <w:pPr>
        <w:spacing w:line="360" w:lineRule="auto"/>
        <w:jc w:val="both"/>
        <w:rPr>
          <w:rFonts w:ascii="Arial" w:hAnsi="Arial" w:cs="Arial"/>
          <w:iCs/>
          <w:sz w:val="16"/>
          <w:szCs w:val="16"/>
        </w:rPr>
      </w:pPr>
      <w:r w:rsidRPr="008468A5">
        <w:rPr>
          <w:rFonts w:ascii="Arial" w:hAnsi="Arial" w:cs="Arial"/>
          <w:iCs/>
          <w:sz w:val="16"/>
          <w:szCs w:val="16"/>
        </w:rPr>
        <w:t>Fuente: Cohortes de nacimiento 2010–2019, personas activas en aplicativo PAI 2.5 de la Secretaría Distrital de Salud de Bogotá; vacunados/as registrados en aplicativo PAI 2.5, con corte a 31 de diciembre de 2025.</w:t>
      </w:r>
    </w:p>
    <w:p w14:paraId="25F65B64" w14:textId="77777777" w:rsidR="008468A5" w:rsidRPr="00611BA9" w:rsidRDefault="008468A5" w:rsidP="00611BA9">
      <w:pPr>
        <w:spacing w:line="360" w:lineRule="auto"/>
        <w:jc w:val="both"/>
        <w:rPr>
          <w:rFonts w:ascii="Arial" w:hAnsi="Arial" w:cs="Arial"/>
          <w:sz w:val="22"/>
          <w:szCs w:val="22"/>
        </w:rPr>
      </w:pPr>
    </w:p>
    <w:p w14:paraId="59C6441D"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En consecuencia, el resultado combinado muestra una situación dual: por una parte, el refuerzo de triple viral en 18–23 meses exhibe un comportamiento favorable; por otra, la persistencia de susceptibles en las cohortes de sarampión-rubéola indica que aún existen brechas programáticas que deben cerrarse mediante búsqueda activa, depuración y cruce nominal, verificación de antecedentes vacunales, recordatorios y articulación con la red prestadora.</w:t>
      </w:r>
    </w:p>
    <w:p w14:paraId="270F9CA5" w14:textId="77777777" w:rsidR="008468A5" w:rsidRPr="00611BA9" w:rsidRDefault="008468A5" w:rsidP="00611BA9">
      <w:pPr>
        <w:spacing w:line="360" w:lineRule="auto"/>
        <w:jc w:val="both"/>
        <w:rPr>
          <w:rFonts w:ascii="Arial" w:hAnsi="Arial" w:cs="Arial"/>
          <w:sz w:val="22"/>
          <w:szCs w:val="22"/>
        </w:rPr>
      </w:pPr>
    </w:p>
    <w:p w14:paraId="262FF54A" w14:textId="02F690F8" w:rsidR="00611BA9" w:rsidRPr="008468A5" w:rsidRDefault="00611BA9" w:rsidP="008468A5">
      <w:pPr>
        <w:pStyle w:val="Ttulo2"/>
        <w:numPr>
          <w:ilvl w:val="2"/>
          <w:numId w:val="21"/>
        </w:numPr>
        <w:spacing w:before="0" w:line="360" w:lineRule="auto"/>
        <w:jc w:val="both"/>
        <w:rPr>
          <w:rFonts w:ascii="Arial" w:hAnsi="Arial" w:cs="Arial"/>
          <w:b/>
          <w:color w:val="auto"/>
          <w:sz w:val="22"/>
          <w:szCs w:val="22"/>
        </w:rPr>
      </w:pPr>
      <w:bookmarkStart w:id="49" w:name="_Toc229397849"/>
      <w:r w:rsidRPr="00611BA9">
        <w:rPr>
          <w:rFonts w:ascii="Arial" w:hAnsi="Arial" w:cs="Arial"/>
          <w:b/>
          <w:color w:val="auto"/>
          <w:sz w:val="22"/>
          <w:szCs w:val="22"/>
        </w:rPr>
        <w:t>DPT segundo refuerzo a los 5 años</w:t>
      </w:r>
      <w:bookmarkEnd w:id="49"/>
    </w:p>
    <w:p w14:paraId="2EC14E0B" w14:textId="77777777" w:rsidR="008468A5" w:rsidRDefault="008468A5" w:rsidP="00611BA9">
      <w:pPr>
        <w:spacing w:line="360" w:lineRule="auto"/>
        <w:jc w:val="both"/>
        <w:rPr>
          <w:rFonts w:ascii="Arial" w:hAnsi="Arial" w:cs="Arial"/>
          <w:sz w:val="22"/>
          <w:szCs w:val="22"/>
        </w:rPr>
      </w:pPr>
    </w:p>
    <w:p w14:paraId="18E1D733" w14:textId="48242C38"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El trazador con desempeño más desfavorable dentro del bloque principal del PAI en población infantil corresponde al segundo refuerzo de DPT a los 5 años, con una cobertura de 82,0% al registrar 399 vacunados/as frente a una meta de 487. Este resultado se encuentra claramente por debajo del umbral acumulado esperado para diciembre y, por tanto, configura un incumplimiento programático que amerita seguimiento específico.</w:t>
      </w:r>
    </w:p>
    <w:p w14:paraId="4FDD8CD6" w14:textId="77777777" w:rsidR="00F079CF" w:rsidRPr="00611BA9" w:rsidRDefault="00F079CF" w:rsidP="00611BA9">
      <w:pPr>
        <w:spacing w:line="360" w:lineRule="auto"/>
        <w:jc w:val="both"/>
        <w:rPr>
          <w:rFonts w:ascii="Arial" w:hAnsi="Arial" w:cs="Arial"/>
          <w:sz w:val="22"/>
          <w:szCs w:val="22"/>
        </w:rPr>
      </w:pPr>
    </w:p>
    <w:p w14:paraId="2B0985A9"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lastRenderedPageBreak/>
        <w:t>Desde el punto de vista epidemiológico, el rezago en este refuerzo es relevante porque compromete el cierre del esquema de protección frente a difteria, tosferina y tétanos, particularmente en un grupo etario que debería ingresar a la etapa escolar con su esquema oportunamente consolidado. Las brechas en esta dosis pueden reflejar fallas en captación, dificultades de seguimiento nominal, baja adherencia de las familias al refuerzo tardío o debilidades en la demanda inducida desde la EAPB y su red prestadora.</w:t>
      </w:r>
    </w:p>
    <w:p w14:paraId="5FF5C1AB" w14:textId="77777777" w:rsidR="00F079CF" w:rsidRPr="00611BA9" w:rsidRDefault="00F079CF" w:rsidP="00611BA9">
      <w:pPr>
        <w:spacing w:line="360" w:lineRule="auto"/>
        <w:jc w:val="both"/>
        <w:rPr>
          <w:rFonts w:ascii="Arial" w:hAnsi="Arial" w:cs="Arial"/>
          <w:sz w:val="22"/>
          <w:szCs w:val="22"/>
        </w:rPr>
      </w:pPr>
    </w:p>
    <w:p w14:paraId="15705247" w14:textId="2437EF5C" w:rsidR="00611BA9" w:rsidRPr="00611BA9" w:rsidRDefault="00611BA9" w:rsidP="00CB6C8D">
      <w:pPr>
        <w:pStyle w:val="Ttulo2"/>
        <w:numPr>
          <w:ilvl w:val="2"/>
          <w:numId w:val="21"/>
        </w:numPr>
        <w:spacing w:before="0" w:line="360" w:lineRule="auto"/>
        <w:jc w:val="both"/>
        <w:rPr>
          <w:rFonts w:ascii="Arial" w:hAnsi="Arial" w:cs="Arial"/>
          <w:color w:val="auto"/>
          <w:sz w:val="22"/>
          <w:szCs w:val="22"/>
        </w:rPr>
      </w:pPr>
      <w:bookmarkStart w:id="50" w:name="_Toc229397850"/>
      <w:r w:rsidRPr="00611BA9">
        <w:rPr>
          <w:rFonts w:ascii="Arial" w:hAnsi="Arial" w:cs="Arial"/>
          <w:b/>
          <w:color w:val="auto"/>
          <w:sz w:val="22"/>
          <w:szCs w:val="22"/>
        </w:rPr>
        <w:t>Vacunación contra VPH en niños y niñas de 9 años</w:t>
      </w:r>
      <w:bookmarkEnd w:id="50"/>
    </w:p>
    <w:p w14:paraId="10316565" w14:textId="77777777" w:rsidR="000A01E8" w:rsidRDefault="000A01E8" w:rsidP="00611BA9">
      <w:pPr>
        <w:spacing w:line="360" w:lineRule="auto"/>
        <w:jc w:val="both"/>
        <w:rPr>
          <w:rFonts w:ascii="Arial" w:hAnsi="Arial" w:cs="Arial"/>
          <w:sz w:val="22"/>
          <w:szCs w:val="22"/>
        </w:rPr>
      </w:pPr>
    </w:p>
    <w:p w14:paraId="11111B94" w14:textId="31C29095"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La vacunación contra el Virus del Papiloma Humano (VPH) constituye uno de los componentes de mayor rezago en el informe de COOSALUD EPS. En niñas de 9 años, la cobertura alcanzó 46,0% (144 vacunadas de una meta de 312), mientras que en niños de 9 años fue de 38,0% (112 vacunados de 295). Ambas coberturas están muy por debajo del umbral de 95% recomendado, lo que configura una brecha programática significativa.</w:t>
      </w:r>
    </w:p>
    <w:p w14:paraId="2080E075" w14:textId="77777777" w:rsidR="000A01E8" w:rsidRPr="00611BA9" w:rsidRDefault="000A01E8" w:rsidP="00611BA9">
      <w:pPr>
        <w:spacing w:line="360" w:lineRule="auto"/>
        <w:jc w:val="both"/>
        <w:rPr>
          <w:rFonts w:ascii="Arial" w:hAnsi="Arial" w:cs="Arial"/>
          <w:sz w:val="22"/>
          <w:szCs w:val="22"/>
        </w:rPr>
      </w:pPr>
    </w:p>
    <w:p w14:paraId="585BAF91"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Este rezago es relevante no solo por la magnitud de la brecha, sino por sus implicaciones de mediano y largo plazo en la prevención de enfermedades asociadas al VPH. La insuficiente captación de población susceptible limita la protección individual y poblacional y sugiere fallas en búsqueda activa, articulación territorial, demanda inducida y posicionamiento del PAI.</w:t>
      </w:r>
    </w:p>
    <w:p w14:paraId="7672EB87" w14:textId="77777777" w:rsidR="000A01E8" w:rsidRPr="00611BA9" w:rsidRDefault="000A01E8" w:rsidP="00611BA9">
      <w:pPr>
        <w:spacing w:line="360" w:lineRule="auto"/>
        <w:jc w:val="both"/>
        <w:rPr>
          <w:rFonts w:ascii="Arial" w:hAnsi="Arial" w:cs="Arial"/>
          <w:sz w:val="22"/>
          <w:szCs w:val="22"/>
        </w:rPr>
      </w:pPr>
    </w:p>
    <w:p w14:paraId="506B2D5C" w14:textId="52E70E21" w:rsidR="00611BA9" w:rsidRPr="00CB6C8D" w:rsidRDefault="00611BA9" w:rsidP="00CB6C8D">
      <w:pPr>
        <w:pStyle w:val="Ttulo2"/>
        <w:numPr>
          <w:ilvl w:val="2"/>
          <w:numId w:val="21"/>
        </w:numPr>
        <w:spacing w:before="0" w:line="360" w:lineRule="auto"/>
        <w:jc w:val="both"/>
        <w:rPr>
          <w:rFonts w:ascii="Arial" w:hAnsi="Arial" w:cs="Arial"/>
          <w:b/>
          <w:color w:val="auto"/>
          <w:sz w:val="22"/>
          <w:szCs w:val="22"/>
        </w:rPr>
      </w:pPr>
      <w:bookmarkStart w:id="51" w:name="_Toc229397851"/>
      <w:r w:rsidRPr="00611BA9">
        <w:rPr>
          <w:rFonts w:ascii="Arial" w:hAnsi="Arial" w:cs="Arial"/>
          <w:b/>
          <w:color w:val="auto"/>
          <w:sz w:val="22"/>
          <w:szCs w:val="22"/>
        </w:rPr>
        <w:t>Vacunación contra influenza: señal de riesgo respiratorio en grupos priorizados</w:t>
      </w:r>
      <w:bookmarkEnd w:id="51"/>
    </w:p>
    <w:p w14:paraId="3534804A" w14:textId="77777777" w:rsidR="00CB6C8D" w:rsidRDefault="00CB6C8D" w:rsidP="00611BA9">
      <w:pPr>
        <w:spacing w:line="360" w:lineRule="auto"/>
        <w:jc w:val="both"/>
        <w:rPr>
          <w:rFonts w:ascii="Arial" w:hAnsi="Arial" w:cs="Arial"/>
          <w:sz w:val="22"/>
          <w:szCs w:val="22"/>
        </w:rPr>
      </w:pPr>
    </w:p>
    <w:p w14:paraId="3AB7FA8A" w14:textId="0515ED12"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El informe señala expresamente que el contexto epidemiológico de Bogotá D. C. durante 2025 estuvo marcado por el aumento del riesgo de morbilidad y mortalidad asociado a las Enfermedades Respiratorias Agudas (ERA), motivo por el cual la vacunación contra influenza adquiere un valor estratégico en la mitigación del riesgo clínico.</w:t>
      </w:r>
    </w:p>
    <w:p w14:paraId="3F134AFD" w14:textId="5E9B7243" w:rsidR="00611BA9" w:rsidRPr="00611BA9" w:rsidRDefault="00611BA9" w:rsidP="00CB6C8D">
      <w:r w:rsidRPr="00611BA9">
        <w:t xml:space="preserve"> </w:t>
      </w:r>
    </w:p>
    <w:p w14:paraId="6DCF01F6" w14:textId="1846AA71" w:rsidR="00CB6C8D" w:rsidRDefault="00CB6C8D" w:rsidP="00CB6C8D">
      <w:pPr>
        <w:pStyle w:val="Descripcin"/>
        <w:keepNext/>
        <w:rPr>
          <w:rFonts w:ascii="Arial" w:hAnsi="Arial" w:cs="Arial"/>
          <w:i w:val="0"/>
          <w:iCs w:val="0"/>
          <w:color w:val="auto"/>
          <w:sz w:val="22"/>
          <w:szCs w:val="22"/>
        </w:rPr>
      </w:pPr>
      <w:bookmarkStart w:id="52" w:name="_Toc229395872"/>
      <w:r w:rsidRPr="00CB6C8D">
        <w:rPr>
          <w:rFonts w:ascii="Arial" w:hAnsi="Arial" w:cs="Arial"/>
          <w:i w:val="0"/>
          <w:iCs w:val="0"/>
          <w:color w:val="auto"/>
          <w:sz w:val="22"/>
          <w:szCs w:val="22"/>
        </w:rPr>
        <w:t xml:space="preserve">Tabla </w:t>
      </w:r>
      <w:r w:rsidRPr="00CB6C8D">
        <w:rPr>
          <w:rFonts w:ascii="Arial" w:hAnsi="Arial" w:cs="Arial"/>
          <w:i w:val="0"/>
          <w:iCs w:val="0"/>
          <w:color w:val="auto"/>
          <w:sz w:val="22"/>
          <w:szCs w:val="22"/>
        </w:rPr>
        <w:fldChar w:fldCharType="begin"/>
      </w:r>
      <w:r w:rsidRPr="00CB6C8D">
        <w:rPr>
          <w:rFonts w:ascii="Arial" w:hAnsi="Arial" w:cs="Arial"/>
          <w:i w:val="0"/>
          <w:iCs w:val="0"/>
          <w:color w:val="auto"/>
          <w:sz w:val="22"/>
          <w:szCs w:val="22"/>
        </w:rPr>
        <w:instrText xml:space="preserve"> SEQ Tabla \* ARABIC </w:instrText>
      </w:r>
      <w:r w:rsidRPr="00CB6C8D">
        <w:rPr>
          <w:rFonts w:ascii="Arial" w:hAnsi="Arial" w:cs="Arial"/>
          <w:i w:val="0"/>
          <w:iCs w:val="0"/>
          <w:color w:val="auto"/>
          <w:sz w:val="22"/>
          <w:szCs w:val="22"/>
        </w:rPr>
        <w:fldChar w:fldCharType="separate"/>
      </w:r>
      <w:r w:rsidRPr="00CB6C8D">
        <w:rPr>
          <w:rFonts w:ascii="Arial" w:hAnsi="Arial" w:cs="Arial"/>
          <w:i w:val="0"/>
          <w:iCs w:val="0"/>
          <w:noProof/>
          <w:color w:val="auto"/>
          <w:sz w:val="22"/>
          <w:szCs w:val="22"/>
        </w:rPr>
        <w:t>15</w:t>
      </w:r>
      <w:r w:rsidRPr="00CB6C8D">
        <w:rPr>
          <w:rFonts w:ascii="Arial" w:hAnsi="Arial" w:cs="Arial"/>
          <w:i w:val="0"/>
          <w:iCs w:val="0"/>
          <w:color w:val="auto"/>
          <w:sz w:val="22"/>
          <w:szCs w:val="22"/>
        </w:rPr>
        <w:fldChar w:fldCharType="end"/>
      </w:r>
      <w:r w:rsidRPr="00CB6C8D">
        <w:rPr>
          <w:rFonts w:ascii="Arial" w:hAnsi="Arial" w:cs="Arial"/>
          <w:i w:val="0"/>
          <w:iCs w:val="0"/>
          <w:color w:val="auto"/>
          <w:sz w:val="22"/>
          <w:szCs w:val="22"/>
        </w:rPr>
        <w:t>: Vacunación contra influenza cepa sur. COOSALUD EPS, Bogotá D. C., 2025</w:t>
      </w:r>
      <w:bookmarkEnd w:id="52"/>
    </w:p>
    <w:p w14:paraId="2AD30E46" w14:textId="4C70C2C6" w:rsidR="00CB6C8D" w:rsidRPr="00CB6C8D" w:rsidRDefault="00CB6C8D" w:rsidP="00CB6C8D"/>
    <w:tbl>
      <w:tblPr>
        <w:tblStyle w:val="Tablaconcuadrcula"/>
        <w:tblW w:w="0" w:type="auto"/>
        <w:jc w:val="center"/>
        <w:tblLook w:val="04A0" w:firstRow="1" w:lastRow="0" w:firstColumn="1" w:lastColumn="0" w:noHBand="0" w:noVBand="1"/>
      </w:tblPr>
      <w:tblGrid>
        <w:gridCol w:w="3195"/>
        <w:gridCol w:w="1508"/>
        <w:gridCol w:w="999"/>
        <w:gridCol w:w="1684"/>
        <w:gridCol w:w="1442"/>
      </w:tblGrid>
      <w:tr w:rsidR="00611BA9" w:rsidRPr="00611BA9" w14:paraId="0FFAE28B" w14:textId="77777777" w:rsidTr="006D51DB">
        <w:trPr>
          <w:tblHeader/>
          <w:jc w:val="center"/>
        </w:trPr>
        <w:tc>
          <w:tcPr>
            <w:tcW w:w="3195" w:type="dxa"/>
            <w:shd w:val="clear" w:color="auto" w:fill="FFFFFF" w:themeFill="background1"/>
            <w:vAlign w:val="center"/>
          </w:tcPr>
          <w:p w14:paraId="623090F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lastRenderedPageBreak/>
              <w:t>Grupo poblacional / estrategia</w:t>
            </w:r>
          </w:p>
        </w:tc>
        <w:tc>
          <w:tcPr>
            <w:tcW w:w="1508" w:type="dxa"/>
            <w:shd w:val="clear" w:color="auto" w:fill="FFFFFF" w:themeFill="background1"/>
            <w:vAlign w:val="center"/>
          </w:tcPr>
          <w:p w14:paraId="7C374C3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Tipo de dosis</w:t>
            </w:r>
          </w:p>
        </w:tc>
        <w:tc>
          <w:tcPr>
            <w:tcW w:w="999" w:type="dxa"/>
            <w:shd w:val="clear" w:color="auto" w:fill="FFFFFF" w:themeFill="background1"/>
            <w:vAlign w:val="center"/>
          </w:tcPr>
          <w:p w14:paraId="7074DCE8"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Meta</w:t>
            </w:r>
          </w:p>
        </w:tc>
        <w:tc>
          <w:tcPr>
            <w:tcW w:w="1684" w:type="dxa"/>
            <w:shd w:val="clear" w:color="auto" w:fill="FFFFFF" w:themeFill="background1"/>
            <w:vAlign w:val="center"/>
          </w:tcPr>
          <w:p w14:paraId="4E4BB02F"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Vacunados/as</w:t>
            </w:r>
          </w:p>
        </w:tc>
        <w:tc>
          <w:tcPr>
            <w:tcW w:w="1442" w:type="dxa"/>
            <w:shd w:val="clear" w:color="auto" w:fill="FFFFFF" w:themeFill="background1"/>
            <w:vAlign w:val="center"/>
          </w:tcPr>
          <w:p w14:paraId="48B2D750"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b/>
                <w:sz w:val="22"/>
                <w:szCs w:val="22"/>
              </w:rPr>
              <w:t>Cobertura (%)</w:t>
            </w:r>
          </w:p>
        </w:tc>
      </w:tr>
      <w:tr w:rsidR="00611BA9" w:rsidRPr="00611BA9" w14:paraId="51457824" w14:textId="77777777" w:rsidTr="00CB6C8D">
        <w:trPr>
          <w:jc w:val="center"/>
        </w:trPr>
        <w:tc>
          <w:tcPr>
            <w:tcW w:w="3195" w:type="dxa"/>
          </w:tcPr>
          <w:p w14:paraId="26D1B71A"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menores de un año</w:t>
            </w:r>
          </w:p>
        </w:tc>
        <w:tc>
          <w:tcPr>
            <w:tcW w:w="1508" w:type="dxa"/>
          </w:tcPr>
          <w:p w14:paraId="566A3AA8"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1.ª dosis</w:t>
            </w:r>
          </w:p>
        </w:tc>
        <w:tc>
          <w:tcPr>
            <w:tcW w:w="999" w:type="dxa"/>
          </w:tcPr>
          <w:p w14:paraId="4459338B"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440</w:t>
            </w:r>
          </w:p>
        </w:tc>
        <w:tc>
          <w:tcPr>
            <w:tcW w:w="1684" w:type="dxa"/>
          </w:tcPr>
          <w:p w14:paraId="2D1B46A5"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440</w:t>
            </w:r>
          </w:p>
        </w:tc>
        <w:tc>
          <w:tcPr>
            <w:tcW w:w="1442" w:type="dxa"/>
          </w:tcPr>
          <w:p w14:paraId="0A71F80B" w14:textId="240237FC"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100</w:t>
            </w:r>
          </w:p>
        </w:tc>
      </w:tr>
      <w:tr w:rsidR="00611BA9" w:rsidRPr="00611BA9" w14:paraId="3879DB4A" w14:textId="77777777" w:rsidTr="00CB6C8D">
        <w:trPr>
          <w:jc w:val="center"/>
        </w:trPr>
        <w:tc>
          <w:tcPr>
            <w:tcW w:w="3195" w:type="dxa"/>
          </w:tcPr>
          <w:p w14:paraId="711ED51E"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menores de un año</w:t>
            </w:r>
          </w:p>
        </w:tc>
        <w:tc>
          <w:tcPr>
            <w:tcW w:w="1508" w:type="dxa"/>
          </w:tcPr>
          <w:p w14:paraId="46E2CA26"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2.ª dosis</w:t>
            </w:r>
          </w:p>
        </w:tc>
        <w:tc>
          <w:tcPr>
            <w:tcW w:w="999" w:type="dxa"/>
          </w:tcPr>
          <w:p w14:paraId="0571DD2A"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440</w:t>
            </w:r>
          </w:p>
        </w:tc>
        <w:tc>
          <w:tcPr>
            <w:tcW w:w="1684" w:type="dxa"/>
          </w:tcPr>
          <w:p w14:paraId="7C3E4110"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305</w:t>
            </w:r>
          </w:p>
        </w:tc>
        <w:tc>
          <w:tcPr>
            <w:tcW w:w="1442" w:type="dxa"/>
          </w:tcPr>
          <w:p w14:paraId="7B52F47A" w14:textId="7058C8D1"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69</w:t>
            </w:r>
          </w:p>
        </w:tc>
      </w:tr>
      <w:tr w:rsidR="00611BA9" w:rsidRPr="00611BA9" w14:paraId="1D47A0B7" w14:textId="77777777" w:rsidTr="00CB6C8D">
        <w:trPr>
          <w:jc w:val="center"/>
        </w:trPr>
        <w:tc>
          <w:tcPr>
            <w:tcW w:w="3195" w:type="dxa"/>
          </w:tcPr>
          <w:p w14:paraId="35DE802C"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de un año / PAI a administrar</w:t>
            </w:r>
          </w:p>
        </w:tc>
        <w:tc>
          <w:tcPr>
            <w:tcW w:w="1508" w:type="dxa"/>
          </w:tcPr>
          <w:p w14:paraId="33E7ED1B"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1.ª dosis</w:t>
            </w:r>
          </w:p>
        </w:tc>
        <w:tc>
          <w:tcPr>
            <w:tcW w:w="999" w:type="dxa"/>
          </w:tcPr>
          <w:p w14:paraId="637FE578"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143</w:t>
            </w:r>
          </w:p>
        </w:tc>
        <w:tc>
          <w:tcPr>
            <w:tcW w:w="1684" w:type="dxa"/>
          </w:tcPr>
          <w:p w14:paraId="3C93236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143</w:t>
            </w:r>
          </w:p>
        </w:tc>
        <w:tc>
          <w:tcPr>
            <w:tcW w:w="1442" w:type="dxa"/>
          </w:tcPr>
          <w:p w14:paraId="73C30FF2" w14:textId="057E4F4B"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100</w:t>
            </w:r>
          </w:p>
        </w:tc>
      </w:tr>
      <w:tr w:rsidR="00611BA9" w:rsidRPr="00611BA9" w14:paraId="15F5DBFF" w14:textId="77777777" w:rsidTr="00CB6C8D">
        <w:trPr>
          <w:jc w:val="center"/>
        </w:trPr>
        <w:tc>
          <w:tcPr>
            <w:tcW w:w="3195" w:type="dxa"/>
          </w:tcPr>
          <w:p w14:paraId="5FED523D"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de un año / PAI a administrar</w:t>
            </w:r>
          </w:p>
        </w:tc>
        <w:tc>
          <w:tcPr>
            <w:tcW w:w="1508" w:type="dxa"/>
          </w:tcPr>
          <w:p w14:paraId="2E78CC1F"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2.ª dosis</w:t>
            </w:r>
          </w:p>
        </w:tc>
        <w:tc>
          <w:tcPr>
            <w:tcW w:w="999" w:type="dxa"/>
          </w:tcPr>
          <w:p w14:paraId="6B3B928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143</w:t>
            </w:r>
          </w:p>
        </w:tc>
        <w:tc>
          <w:tcPr>
            <w:tcW w:w="1684" w:type="dxa"/>
          </w:tcPr>
          <w:p w14:paraId="677254DC"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115</w:t>
            </w:r>
          </w:p>
        </w:tc>
        <w:tc>
          <w:tcPr>
            <w:tcW w:w="1442" w:type="dxa"/>
          </w:tcPr>
          <w:p w14:paraId="282E5EC1" w14:textId="7F2E0214"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80</w:t>
            </w:r>
          </w:p>
        </w:tc>
      </w:tr>
      <w:tr w:rsidR="00611BA9" w:rsidRPr="00611BA9" w14:paraId="3E0D722D" w14:textId="77777777" w:rsidTr="00CB6C8D">
        <w:trPr>
          <w:jc w:val="center"/>
        </w:trPr>
        <w:tc>
          <w:tcPr>
            <w:tcW w:w="3195" w:type="dxa"/>
          </w:tcPr>
          <w:p w14:paraId="14057CDD"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Niños/as de un año / PAI a administrar</w:t>
            </w:r>
          </w:p>
        </w:tc>
        <w:tc>
          <w:tcPr>
            <w:tcW w:w="1508" w:type="dxa"/>
          </w:tcPr>
          <w:p w14:paraId="3193D8BE"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Dosis única</w:t>
            </w:r>
          </w:p>
        </w:tc>
        <w:tc>
          <w:tcPr>
            <w:tcW w:w="999" w:type="dxa"/>
          </w:tcPr>
          <w:p w14:paraId="0FEEBC2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281</w:t>
            </w:r>
          </w:p>
        </w:tc>
        <w:tc>
          <w:tcPr>
            <w:tcW w:w="1684" w:type="dxa"/>
          </w:tcPr>
          <w:p w14:paraId="54B5EB4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277</w:t>
            </w:r>
          </w:p>
        </w:tc>
        <w:tc>
          <w:tcPr>
            <w:tcW w:w="1442" w:type="dxa"/>
          </w:tcPr>
          <w:p w14:paraId="6210EAD2" w14:textId="1EDDF3BA"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98</w:t>
            </w:r>
          </w:p>
        </w:tc>
      </w:tr>
      <w:tr w:rsidR="00611BA9" w:rsidRPr="00611BA9" w14:paraId="5C210D67" w14:textId="77777777" w:rsidTr="00CB6C8D">
        <w:trPr>
          <w:jc w:val="center"/>
        </w:trPr>
        <w:tc>
          <w:tcPr>
            <w:tcW w:w="3195" w:type="dxa"/>
          </w:tcPr>
          <w:p w14:paraId="24E1F3CD"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Adulto de 60 años y más</w:t>
            </w:r>
          </w:p>
        </w:tc>
        <w:tc>
          <w:tcPr>
            <w:tcW w:w="1508" w:type="dxa"/>
          </w:tcPr>
          <w:p w14:paraId="0B52D5F2"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Influenza cepa sur</w:t>
            </w:r>
          </w:p>
        </w:tc>
        <w:tc>
          <w:tcPr>
            <w:tcW w:w="999" w:type="dxa"/>
          </w:tcPr>
          <w:p w14:paraId="03E6498F"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915</w:t>
            </w:r>
          </w:p>
        </w:tc>
        <w:tc>
          <w:tcPr>
            <w:tcW w:w="1684" w:type="dxa"/>
          </w:tcPr>
          <w:p w14:paraId="34A09F9C"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628</w:t>
            </w:r>
          </w:p>
        </w:tc>
        <w:tc>
          <w:tcPr>
            <w:tcW w:w="1442" w:type="dxa"/>
          </w:tcPr>
          <w:p w14:paraId="1117E10B" w14:textId="321C43FC"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68</w:t>
            </w:r>
          </w:p>
        </w:tc>
      </w:tr>
      <w:tr w:rsidR="00611BA9" w:rsidRPr="00611BA9" w14:paraId="795EB75F" w14:textId="77777777" w:rsidTr="00CB6C8D">
        <w:trPr>
          <w:jc w:val="center"/>
        </w:trPr>
        <w:tc>
          <w:tcPr>
            <w:tcW w:w="3195" w:type="dxa"/>
          </w:tcPr>
          <w:p w14:paraId="7B0C2146"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Personas con patología crónica</w:t>
            </w:r>
          </w:p>
        </w:tc>
        <w:tc>
          <w:tcPr>
            <w:tcW w:w="1508" w:type="dxa"/>
          </w:tcPr>
          <w:p w14:paraId="1B657A1C"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Influenza cepa sur</w:t>
            </w:r>
          </w:p>
        </w:tc>
        <w:tc>
          <w:tcPr>
            <w:tcW w:w="999" w:type="dxa"/>
          </w:tcPr>
          <w:p w14:paraId="1F0A4B6E"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2.084</w:t>
            </w:r>
          </w:p>
        </w:tc>
        <w:tc>
          <w:tcPr>
            <w:tcW w:w="1684" w:type="dxa"/>
          </w:tcPr>
          <w:p w14:paraId="68FC8AD5"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2.084</w:t>
            </w:r>
          </w:p>
        </w:tc>
        <w:tc>
          <w:tcPr>
            <w:tcW w:w="1442" w:type="dxa"/>
          </w:tcPr>
          <w:p w14:paraId="3B66FF58" w14:textId="6F8880BA"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100</w:t>
            </w:r>
          </w:p>
        </w:tc>
      </w:tr>
      <w:tr w:rsidR="00611BA9" w:rsidRPr="00611BA9" w14:paraId="7F13C59B" w14:textId="77777777" w:rsidTr="00CB6C8D">
        <w:trPr>
          <w:jc w:val="center"/>
        </w:trPr>
        <w:tc>
          <w:tcPr>
            <w:tcW w:w="3195" w:type="dxa"/>
          </w:tcPr>
          <w:p w14:paraId="41ADA0A3"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Gestantes</w:t>
            </w:r>
          </w:p>
        </w:tc>
        <w:tc>
          <w:tcPr>
            <w:tcW w:w="1508" w:type="dxa"/>
          </w:tcPr>
          <w:p w14:paraId="3CF8610F"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Influenza estacional</w:t>
            </w:r>
          </w:p>
        </w:tc>
        <w:tc>
          <w:tcPr>
            <w:tcW w:w="999" w:type="dxa"/>
          </w:tcPr>
          <w:p w14:paraId="1FB0601B"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471</w:t>
            </w:r>
          </w:p>
        </w:tc>
        <w:tc>
          <w:tcPr>
            <w:tcW w:w="1684" w:type="dxa"/>
          </w:tcPr>
          <w:p w14:paraId="4C63B59D" w14:textId="77777777"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471</w:t>
            </w:r>
          </w:p>
        </w:tc>
        <w:tc>
          <w:tcPr>
            <w:tcW w:w="1442" w:type="dxa"/>
          </w:tcPr>
          <w:p w14:paraId="283B1EA7" w14:textId="60741B93" w:rsidR="00611BA9" w:rsidRPr="00611BA9" w:rsidRDefault="00611BA9" w:rsidP="006D51DB">
            <w:pPr>
              <w:spacing w:line="360" w:lineRule="auto"/>
              <w:jc w:val="center"/>
              <w:rPr>
                <w:rFonts w:ascii="Arial" w:hAnsi="Arial" w:cs="Arial"/>
                <w:sz w:val="22"/>
                <w:szCs w:val="22"/>
              </w:rPr>
            </w:pPr>
            <w:r w:rsidRPr="00611BA9">
              <w:rPr>
                <w:rFonts w:ascii="Arial" w:hAnsi="Arial" w:cs="Arial"/>
                <w:sz w:val="22"/>
                <w:szCs w:val="22"/>
              </w:rPr>
              <w:t>100</w:t>
            </w:r>
          </w:p>
        </w:tc>
      </w:tr>
    </w:tbl>
    <w:p w14:paraId="3490BC74" w14:textId="77777777" w:rsidR="00611BA9" w:rsidRPr="00B6508E" w:rsidRDefault="00611BA9" w:rsidP="00611BA9">
      <w:pPr>
        <w:spacing w:line="360" w:lineRule="auto"/>
        <w:jc w:val="both"/>
        <w:rPr>
          <w:rFonts w:ascii="Arial" w:hAnsi="Arial" w:cs="Arial"/>
          <w:iCs/>
          <w:sz w:val="16"/>
          <w:szCs w:val="16"/>
        </w:rPr>
      </w:pPr>
      <w:r w:rsidRPr="00B6508E">
        <w:rPr>
          <w:rFonts w:ascii="Arial" w:hAnsi="Arial" w:cs="Arial"/>
          <w:iCs/>
          <w:sz w:val="16"/>
          <w:szCs w:val="16"/>
        </w:rPr>
        <w:t>Fuentes: Tablero de control para vacunación influenza abril-diciembre de 2025; Aplicativo PAI 2.5 SDS; Sistema de Información PAI; Secretaría Distrital de Salud, Bogotá, abril-diciembre de 2025.</w:t>
      </w:r>
    </w:p>
    <w:p w14:paraId="3F340A2F" w14:textId="77777777" w:rsidR="007F32D5" w:rsidRPr="00611BA9" w:rsidRDefault="007F32D5" w:rsidP="00611BA9">
      <w:pPr>
        <w:spacing w:line="360" w:lineRule="auto"/>
        <w:jc w:val="both"/>
        <w:rPr>
          <w:rFonts w:ascii="Arial" w:hAnsi="Arial" w:cs="Arial"/>
          <w:sz w:val="22"/>
          <w:szCs w:val="22"/>
        </w:rPr>
      </w:pPr>
    </w:p>
    <w:p w14:paraId="2F9A6C68" w14:textId="77777777"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COOSALUD EPS alcanzó coberturas satisfactorias en la primera dosis para menores de un año (100,0%), así como coberturas altas o completas en la dosis única para niños/as de un año (98,4%), en población con patología crónica (100,0%) y en gestantes (100,0%).</w:t>
      </w:r>
    </w:p>
    <w:p w14:paraId="64FB8223" w14:textId="77777777" w:rsidR="007F32D5" w:rsidRPr="00611BA9" w:rsidRDefault="007F32D5" w:rsidP="00611BA9">
      <w:pPr>
        <w:spacing w:line="360" w:lineRule="auto"/>
        <w:jc w:val="both"/>
        <w:rPr>
          <w:rFonts w:ascii="Arial" w:hAnsi="Arial" w:cs="Arial"/>
          <w:sz w:val="22"/>
          <w:szCs w:val="22"/>
        </w:rPr>
      </w:pPr>
    </w:p>
    <w:p w14:paraId="523DA972" w14:textId="3B327AD8"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Sin embargo, persisten brechas relevantes en la segunda dosis de menores de un año (69%), en la segunda dosis del grupo de un año / PAI a administrar (80,0%) y en la población adulta de 60 años y más (68%). Estas brechas son epidemiológicamente sensibles, por cuanto comprometen la protección de grupos con mayor vulnerabilidad frente a infecciones respiratorias y pueden traducirse en mayor carga de enfermedad, complicaciones y presión asistencial.</w:t>
      </w:r>
    </w:p>
    <w:p w14:paraId="6DBEF9D6" w14:textId="77777777" w:rsidR="00352E9D" w:rsidRPr="00611BA9" w:rsidRDefault="00352E9D" w:rsidP="00611BA9">
      <w:pPr>
        <w:spacing w:line="360" w:lineRule="auto"/>
        <w:jc w:val="both"/>
        <w:rPr>
          <w:rFonts w:ascii="Arial" w:hAnsi="Arial" w:cs="Arial"/>
          <w:sz w:val="22"/>
          <w:szCs w:val="22"/>
        </w:rPr>
      </w:pPr>
    </w:p>
    <w:p w14:paraId="7FE1FECD" w14:textId="7F1FBC97" w:rsidR="00611BA9" w:rsidRPr="002F22FF" w:rsidRDefault="00611BA9" w:rsidP="002F22FF">
      <w:pPr>
        <w:pStyle w:val="Ttulo2"/>
        <w:numPr>
          <w:ilvl w:val="2"/>
          <w:numId w:val="21"/>
        </w:numPr>
        <w:spacing w:before="0" w:line="360" w:lineRule="auto"/>
        <w:jc w:val="both"/>
        <w:rPr>
          <w:rFonts w:ascii="Arial" w:hAnsi="Arial" w:cs="Arial"/>
          <w:b/>
          <w:color w:val="auto"/>
          <w:sz w:val="22"/>
          <w:szCs w:val="22"/>
        </w:rPr>
      </w:pPr>
      <w:bookmarkStart w:id="53" w:name="_Toc229397852"/>
      <w:r w:rsidRPr="00611BA9">
        <w:rPr>
          <w:rFonts w:ascii="Arial" w:hAnsi="Arial" w:cs="Arial"/>
          <w:b/>
          <w:color w:val="auto"/>
          <w:sz w:val="22"/>
          <w:szCs w:val="22"/>
        </w:rPr>
        <w:t>Vacunación contra sarampión-rubéola</w:t>
      </w:r>
      <w:bookmarkEnd w:id="53"/>
    </w:p>
    <w:p w14:paraId="72AF7132" w14:textId="77777777" w:rsidR="002F22FF" w:rsidRDefault="002F22FF" w:rsidP="00611BA9">
      <w:pPr>
        <w:spacing w:line="360" w:lineRule="auto"/>
        <w:jc w:val="both"/>
        <w:rPr>
          <w:rFonts w:ascii="Arial" w:hAnsi="Arial" w:cs="Arial"/>
          <w:sz w:val="22"/>
          <w:szCs w:val="22"/>
        </w:rPr>
      </w:pPr>
    </w:p>
    <w:p w14:paraId="1BF906EB" w14:textId="49EF0C15"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lastRenderedPageBreak/>
        <w:t>La vacunación contra sarampión-rubéola en las cohortes de nacimiento 2010–2019 registró una cobertura de 91,6%, con 2.403 personas vacunadas frente a una meta de 2.624 y un total de 221 susceptibles pendientes por captar. Este resultado, aunque alto, permanece por debajo del 95% requerido para asegurar una protección homogénea y avanzar en la interrupción de la transmisión.</w:t>
      </w:r>
    </w:p>
    <w:p w14:paraId="3B8B365F" w14:textId="77777777"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En consecuencia, se requiere intensificar la búsqueda activa y la captación efectiva de la población pendiente mediante depuración y cruce nominal, georreferenciación de rezagos, verificación de antecedentes vacunales, activación de recordatorios y articulación con la red prestadora, de modo que durante 2026 se cierre la brecha residual y se consolide un comportamiento más robusto del trazador.</w:t>
      </w:r>
    </w:p>
    <w:p w14:paraId="15626432" w14:textId="77777777" w:rsidR="00611BA9" w:rsidRPr="00611BA9" w:rsidRDefault="00611BA9" w:rsidP="00611BA9">
      <w:pPr>
        <w:spacing w:line="360" w:lineRule="auto"/>
        <w:jc w:val="both"/>
        <w:rPr>
          <w:rFonts w:ascii="Arial" w:hAnsi="Arial" w:cs="Arial"/>
          <w:sz w:val="22"/>
          <w:szCs w:val="22"/>
        </w:rPr>
      </w:pPr>
    </w:p>
    <w:p w14:paraId="46A93D2D" w14:textId="7AFEA08E" w:rsidR="00611BA9" w:rsidRDefault="00611BA9" w:rsidP="00611BA9">
      <w:pPr>
        <w:spacing w:line="360" w:lineRule="auto"/>
        <w:jc w:val="both"/>
        <w:rPr>
          <w:rFonts w:ascii="Arial" w:hAnsi="Arial" w:cs="Arial"/>
          <w:sz w:val="22"/>
          <w:szCs w:val="22"/>
        </w:rPr>
      </w:pPr>
      <w:r w:rsidRPr="00611BA9">
        <w:rPr>
          <w:rFonts w:ascii="Arial" w:hAnsi="Arial" w:cs="Arial"/>
          <w:sz w:val="22"/>
          <w:szCs w:val="22"/>
        </w:rPr>
        <w:t>En conjunto, el comportamiento de las coberturas de vacunación de COOSALUD EPS durante 2025 muestra un desempeño favorable en algunos trazadores del esquema permanente infantil, especialmente en triple viral de 1 año, refuerzo de triple viral en 18–23 meses, pentavalente y fiebre amarilla en 18–23 meses. No obstante, esta fortaleza parcial coexiste con brechas programáticas relevantes en DPT segundo refuerzo a los 5 años, VPH, influenza en segundas dosis y adultos mayores, sarampión-rubéola y, de manera particularmente sensible, fiebre amarilla por cohortes.</w:t>
      </w:r>
    </w:p>
    <w:p w14:paraId="32526653" w14:textId="77777777" w:rsidR="007E7282" w:rsidRPr="00611BA9" w:rsidRDefault="007E7282" w:rsidP="00611BA9">
      <w:pPr>
        <w:spacing w:line="360" w:lineRule="auto"/>
        <w:jc w:val="both"/>
        <w:rPr>
          <w:rFonts w:ascii="Arial" w:hAnsi="Arial" w:cs="Arial"/>
          <w:sz w:val="22"/>
          <w:szCs w:val="22"/>
        </w:rPr>
      </w:pPr>
    </w:p>
    <w:p w14:paraId="1875297F" w14:textId="77777777" w:rsidR="00905226" w:rsidRDefault="00611BA9" w:rsidP="00611BA9">
      <w:pPr>
        <w:spacing w:line="360" w:lineRule="auto"/>
        <w:jc w:val="both"/>
        <w:rPr>
          <w:rFonts w:ascii="Arial" w:hAnsi="Arial" w:cs="Arial"/>
          <w:sz w:val="22"/>
          <w:szCs w:val="22"/>
        </w:rPr>
      </w:pPr>
      <w:r w:rsidRPr="00611BA9">
        <w:rPr>
          <w:rFonts w:ascii="Arial" w:hAnsi="Arial" w:cs="Arial"/>
          <w:sz w:val="22"/>
          <w:szCs w:val="22"/>
        </w:rPr>
        <w:t xml:space="preserve">Por tanto, el riesgo vacunal agregado para la población afiliada de COOSALUD EPS en Bogotá D. C. no se explica por un colapso generalizado del programa, sino por la persistencia de rezagos en biológicos y cohortes críticas que afectan el cierre oportuno de esquemas, mantienen susceptibles acumulados y aumentan la vulnerabilidad en grupos priorizados. </w:t>
      </w:r>
    </w:p>
    <w:p w14:paraId="785B99ED" w14:textId="77777777" w:rsidR="00905226" w:rsidRDefault="00905226" w:rsidP="00611BA9">
      <w:pPr>
        <w:spacing w:line="360" w:lineRule="auto"/>
        <w:jc w:val="both"/>
        <w:rPr>
          <w:rFonts w:ascii="Arial" w:hAnsi="Arial" w:cs="Arial"/>
          <w:sz w:val="22"/>
          <w:szCs w:val="22"/>
        </w:rPr>
      </w:pPr>
    </w:p>
    <w:p w14:paraId="659CAFBA" w14:textId="61C5B272" w:rsidR="00611BA9" w:rsidRPr="00611BA9" w:rsidRDefault="00611BA9" w:rsidP="00611BA9">
      <w:pPr>
        <w:spacing w:line="360" w:lineRule="auto"/>
        <w:jc w:val="both"/>
        <w:rPr>
          <w:rFonts w:ascii="Arial" w:hAnsi="Arial" w:cs="Arial"/>
          <w:sz w:val="22"/>
          <w:szCs w:val="22"/>
        </w:rPr>
      </w:pPr>
      <w:r w:rsidRPr="00611BA9">
        <w:rPr>
          <w:rFonts w:ascii="Arial" w:hAnsi="Arial" w:cs="Arial"/>
          <w:sz w:val="22"/>
          <w:szCs w:val="22"/>
        </w:rPr>
        <w:t>En consecuencia, se requiere fortalecer la búsqueda activa, la captación efectiva, la depuración y validación nominal de cohortes, el seguimiento territorial y la evaluación del plan de acción de vacunación para la vigencia 2026, con el fin de reducir brechas y asegurar resultados más homogéneos y sostenibles en la garantía del derecho a la salud.</w:t>
      </w:r>
    </w:p>
    <w:p w14:paraId="58B3DD3D" w14:textId="77777777" w:rsidR="00905226" w:rsidRDefault="00905226" w:rsidP="006068A2">
      <w:pPr>
        <w:spacing w:line="360" w:lineRule="auto"/>
        <w:jc w:val="both"/>
        <w:rPr>
          <w:rFonts w:ascii="Arial" w:hAnsi="Arial" w:cs="Arial"/>
          <w:sz w:val="22"/>
          <w:szCs w:val="22"/>
        </w:rPr>
      </w:pPr>
    </w:p>
    <w:p w14:paraId="474B6B75" w14:textId="479CE595" w:rsidR="000C4AE0" w:rsidRPr="006068A2" w:rsidRDefault="00990A20" w:rsidP="004D7781">
      <w:pPr>
        <w:pStyle w:val="Ttulo1"/>
        <w:numPr>
          <w:ilvl w:val="0"/>
          <w:numId w:val="9"/>
        </w:numPr>
        <w:spacing w:before="0" w:line="360" w:lineRule="auto"/>
        <w:jc w:val="both"/>
        <w:rPr>
          <w:rFonts w:ascii="Arial" w:hAnsi="Arial" w:cs="Arial"/>
          <w:b/>
          <w:bCs/>
          <w:color w:val="auto"/>
          <w:sz w:val="22"/>
          <w:szCs w:val="22"/>
          <w:lang w:val="es-ES"/>
        </w:rPr>
      </w:pPr>
      <w:bookmarkStart w:id="54" w:name="_Toc229397853"/>
      <w:r w:rsidRPr="006068A2">
        <w:rPr>
          <w:rFonts w:ascii="Arial" w:hAnsi="Arial" w:cs="Arial"/>
          <w:b/>
          <w:bCs/>
          <w:color w:val="auto"/>
          <w:sz w:val="22"/>
          <w:szCs w:val="22"/>
          <w:lang w:val="es-ES"/>
        </w:rPr>
        <w:t>RED PRESTADORA Y CAPACIDAD INSTALADA</w:t>
      </w:r>
      <w:bookmarkEnd w:id="54"/>
    </w:p>
    <w:p w14:paraId="2C008688" w14:textId="77777777" w:rsidR="00D06292" w:rsidRPr="006068A2" w:rsidRDefault="00D06292" w:rsidP="006068A2">
      <w:pPr>
        <w:spacing w:line="360" w:lineRule="auto"/>
        <w:jc w:val="both"/>
        <w:rPr>
          <w:rFonts w:ascii="Arial" w:hAnsi="Arial" w:cs="Arial"/>
          <w:sz w:val="22"/>
          <w:szCs w:val="22"/>
        </w:rPr>
      </w:pPr>
      <w:bookmarkStart w:id="55" w:name="OLE_LINK12"/>
    </w:p>
    <w:p w14:paraId="74980221" w14:textId="79E2F37B" w:rsidR="00214929" w:rsidRPr="006068A2" w:rsidRDefault="2A86345B" w:rsidP="004D7781">
      <w:pPr>
        <w:pStyle w:val="Ttulo2"/>
        <w:numPr>
          <w:ilvl w:val="1"/>
          <w:numId w:val="9"/>
        </w:numPr>
        <w:spacing w:before="0" w:line="360" w:lineRule="auto"/>
        <w:jc w:val="both"/>
        <w:rPr>
          <w:rFonts w:ascii="Arial" w:hAnsi="Arial" w:cs="Arial"/>
          <w:b/>
          <w:bCs/>
          <w:color w:val="auto"/>
          <w:sz w:val="22"/>
          <w:szCs w:val="22"/>
        </w:rPr>
      </w:pPr>
      <w:r w:rsidRPr="006068A2">
        <w:rPr>
          <w:rFonts w:ascii="Arial" w:eastAsia="Arial" w:hAnsi="Arial" w:cs="Arial"/>
          <w:color w:val="000000" w:themeColor="text1"/>
          <w:sz w:val="22"/>
          <w:szCs w:val="22"/>
          <w:lang w:val="es"/>
        </w:rPr>
        <w:lastRenderedPageBreak/>
        <w:t xml:space="preserve"> </w:t>
      </w:r>
      <w:bookmarkStart w:id="56" w:name="_Toc229397854"/>
      <w:r w:rsidR="1E9276BE" w:rsidRPr="006068A2">
        <w:rPr>
          <w:rFonts w:ascii="Arial" w:hAnsi="Arial" w:cs="Arial"/>
          <w:b/>
          <w:bCs/>
          <w:color w:val="auto"/>
          <w:sz w:val="22"/>
          <w:szCs w:val="22"/>
        </w:rPr>
        <w:t>Análisis</w:t>
      </w:r>
      <w:r w:rsidR="78311935" w:rsidRPr="006068A2">
        <w:rPr>
          <w:rFonts w:ascii="Arial" w:hAnsi="Arial" w:cs="Arial"/>
          <w:b/>
          <w:bCs/>
          <w:color w:val="auto"/>
          <w:sz w:val="22"/>
          <w:szCs w:val="22"/>
        </w:rPr>
        <w:t xml:space="preserve"> </w:t>
      </w:r>
      <w:r w:rsidR="00714F6A" w:rsidRPr="006068A2">
        <w:rPr>
          <w:rFonts w:ascii="Arial" w:hAnsi="Arial" w:cs="Arial"/>
          <w:b/>
          <w:bCs/>
          <w:color w:val="auto"/>
          <w:sz w:val="22"/>
          <w:szCs w:val="22"/>
        </w:rPr>
        <w:t>Coosalud</w:t>
      </w:r>
      <w:r w:rsidR="44910BD9" w:rsidRPr="006068A2">
        <w:rPr>
          <w:rFonts w:ascii="Arial" w:hAnsi="Arial" w:cs="Arial"/>
          <w:b/>
          <w:bCs/>
          <w:color w:val="auto"/>
          <w:sz w:val="22"/>
          <w:szCs w:val="22"/>
        </w:rPr>
        <w:t xml:space="preserve"> </w:t>
      </w:r>
      <w:r w:rsidR="78F6FF57" w:rsidRPr="006068A2">
        <w:rPr>
          <w:rFonts w:ascii="Arial" w:hAnsi="Arial" w:cs="Arial"/>
          <w:b/>
          <w:bCs/>
          <w:color w:val="auto"/>
          <w:sz w:val="22"/>
          <w:szCs w:val="22"/>
        </w:rPr>
        <w:t xml:space="preserve">Vs </w:t>
      </w:r>
      <w:r w:rsidR="4AF44B35" w:rsidRPr="006068A2">
        <w:rPr>
          <w:rFonts w:ascii="Arial" w:hAnsi="Arial" w:cs="Arial"/>
          <w:b/>
          <w:bCs/>
          <w:color w:val="auto"/>
          <w:sz w:val="22"/>
          <w:szCs w:val="22"/>
        </w:rPr>
        <w:t xml:space="preserve">Grupo </w:t>
      </w:r>
      <w:r w:rsidR="43A3660D" w:rsidRPr="006068A2">
        <w:rPr>
          <w:rFonts w:ascii="Arial" w:hAnsi="Arial" w:cs="Arial"/>
          <w:b/>
          <w:bCs/>
          <w:color w:val="auto"/>
          <w:sz w:val="22"/>
          <w:szCs w:val="22"/>
        </w:rPr>
        <w:t xml:space="preserve">de atención y monitoreo en salud </w:t>
      </w:r>
      <w:r w:rsidR="78F6FF57" w:rsidRPr="006068A2">
        <w:rPr>
          <w:rFonts w:ascii="Arial" w:hAnsi="Arial" w:cs="Arial"/>
          <w:b/>
          <w:bCs/>
          <w:color w:val="auto"/>
          <w:sz w:val="22"/>
          <w:szCs w:val="22"/>
        </w:rPr>
        <w:t>– GAMA</w:t>
      </w:r>
      <w:r w:rsidR="004D6CDA" w:rsidRPr="006068A2">
        <w:rPr>
          <w:rStyle w:val="Refdenotaalpie"/>
          <w:rFonts w:ascii="Arial" w:hAnsi="Arial" w:cs="Arial"/>
          <w:b/>
          <w:bCs/>
          <w:color w:val="auto"/>
          <w:sz w:val="22"/>
          <w:szCs w:val="22"/>
        </w:rPr>
        <w:footnoteReference w:id="8"/>
      </w:r>
      <w:r w:rsidR="78F6FF57" w:rsidRPr="006068A2">
        <w:rPr>
          <w:rFonts w:ascii="Arial" w:hAnsi="Arial" w:cs="Arial"/>
          <w:b/>
          <w:bCs/>
          <w:color w:val="auto"/>
          <w:sz w:val="22"/>
          <w:szCs w:val="22"/>
        </w:rPr>
        <w:t xml:space="preserve"> </w:t>
      </w:r>
      <w:r w:rsidR="4EC7B799" w:rsidRPr="006068A2">
        <w:rPr>
          <w:rFonts w:ascii="Arial" w:hAnsi="Arial" w:cs="Arial"/>
          <w:b/>
          <w:bCs/>
          <w:color w:val="auto"/>
          <w:sz w:val="22"/>
          <w:szCs w:val="22"/>
        </w:rPr>
        <w:t>Secretar</w:t>
      </w:r>
      <w:r w:rsidR="07D31EA5" w:rsidRPr="006068A2">
        <w:rPr>
          <w:rFonts w:ascii="Arial" w:hAnsi="Arial" w:cs="Arial"/>
          <w:b/>
          <w:bCs/>
          <w:color w:val="auto"/>
          <w:sz w:val="22"/>
          <w:szCs w:val="22"/>
        </w:rPr>
        <w:t>í</w:t>
      </w:r>
      <w:r w:rsidR="4EC7B799" w:rsidRPr="006068A2">
        <w:rPr>
          <w:rFonts w:ascii="Arial" w:hAnsi="Arial" w:cs="Arial"/>
          <w:b/>
          <w:bCs/>
          <w:color w:val="auto"/>
          <w:sz w:val="22"/>
          <w:szCs w:val="22"/>
        </w:rPr>
        <w:t xml:space="preserve">a </w:t>
      </w:r>
      <w:r w:rsidR="78F6FF57" w:rsidRPr="006068A2">
        <w:rPr>
          <w:rFonts w:ascii="Arial" w:hAnsi="Arial" w:cs="Arial"/>
          <w:b/>
          <w:bCs/>
          <w:color w:val="auto"/>
          <w:sz w:val="22"/>
          <w:szCs w:val="22"/>
        </w:rPr>
        <w:t>Distrital de Salud</w:t>
      </w:r>
      <w:r w:rsidR="78311935" w:rsidRPr="006068A2">
        <w:rPr>
          <w:rFonts w:ascii="Arial" w:hAnsi="Arial" w:cs="Arial"/>
          <w:b/>
          <w:bCs/>
          <w:color w:val="auto"/>
          <w:sz w:val="22"/>
          <w:szCs w:val="22"/>
        </w:rPr>
        <w:t xml:space="preserve"> </w:t>
      </w:r>
      <w:r w:rsidR="68C32588" w:rsidRPr="006068A2">
        <w:rPr>
          <w:rFonts w:ascii="Arial" w:hAnsi="Arial" w:cs="Arial"/>
          <w:b/>
          <w:bCs/>
          <w:color w:val="auto"/>
          <w:sz w:val="22"/>
          <w:szCs w:val="22"/>
        </w:rPr>
        <w:t>– Red Prestadora</w:t>
      </w:r>
      <w:bookmarkEnd w:id="56"/>
      <w:r w:rsidR="68C32588" w:rsidRPr="006068A2">
        <w:rPr>
          <w:rFonts w:ascii="Arial" w:hAnsi="Arial" w:cs="Arial"/>
          <w:b/>
          <w:bCs/>
          <w:color w:val="auto"/>
          <w:sz w:val="22"/>
          <w:szCs w:val="22"/>
        </w:rPr>
        <w:t xml:space="preserve"> </w:t>
      </w:r>
    </w:p>
    <w:p w14:paraId="212655DA" w14:textId="6C117ABB" w:rsidR="382B01F5" w:rsidRPr="006068A2" w:rsidRDefault="382B01F5" w:rsidP="006068A2">
      <w:pPr>
        <w:spacing w:line="360" w:lineRule="auto"/>
        <w:jc w:val="both"/>
        <w:rPr>
          <w:rFonts w:ascii="Arial" w:hAnsi="Arial" w:cs="Arial"/>
          <w:sz w:val="22"/>
          <w:szCs w:val="22"/>
        </w:rPr>
      </w:pPr>
    </w:p>
    <w:p w14:paraId="25633EFD" w14:textId="7EA18634" w:rsidR="00EB4088" w:rsidRPr="00CE7661" w:rsidRDefault="004E66A2" w:rsidP="006068A2">
      <w:pPr>
        <w:spacing w:line="360" w:lineRule="auto"/>
        <w:jc w:val="both"/>
        <w:rPr>
          <w:rFonts w:ascii="Arial" w:hAnsi="Arial" w:cs="Arial"/>
          <w:sz w:val="22"/>
          <w:szCs w:val="22"/>
        </w:rPr>
      </w:pPr>
      <w:r w:rsidRPr="00CE7661">
        <w:rPr>
          <w:rFonts w:ascii="Arial" w:hAnsi="Arial" w:cs="Arial"/>
          <w:sz w:val="22"/>
          <w:szCs w:val="22"/>
        </w:rPr>
        <w:t>De acuerdo con los resultados del seguimiento realizado por el Grupo de Atención y Monitoreo en Salud (GAMA) de la Subdirección de Garantía del Aseguramiento, se validaron los casos reportados por las áreas de referencia de las IPS con inoportunidad en el trámite de referencia superior a 24 horas. En el periodo comprendido entre el 27 de mayo de 2025 y el 31 de enero de 2026, se identificaron 8.955 casos relacionados con problemas en traslados, interconsultas y remisiones. De este total, 199 casos correspondieron a usuarios afiliados a COOSALUD EPS, lo que equivale al 2,2% del total general de eventos detectados.</w:t>
      </w:r>
    </w:p>
    <w:p w14:paraId="4AA2F604" w14:textId="77777777" w:rsidR="004E66A2" w:rsidRPr="006068A2" w:rsidRDefault="004E66A2" w:rsidP="006068A2">
      <w:pPr>
        <w:spacing w:line="360" w:lineRule="auto"/>
        <w:jc w:val="both"/>
        <w:rPr>
          <w:rFonts w:ascii="Arial" w:hAnsi="Arial" w:cs="Arial"/>
          <w:sz w:val="22"/>
          <w:szCs w:val="22"/>
          <w:lang w:val="es-ES"/>
        </w:rPr>
      </w:pPr>
    </w:p>
    <w:p w14:paraId="598F0EAF" w14:textId="3609CFA9" w:rsidR="000E5255" w:rsidRPr="006068A2"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57" w:name="_Toc229395873"/>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16</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Casos reportados por EAPB</w:t>
      </w:r>
      <w:bookmarkEnd w:id="57"/>
    </w:p>
    <w:tbl>
      <w:tblPr>
        <w:tblStyle w:val="Tablaconcuadrcula"/>
        <w:tblW w:w="8470" w:type="dxa"/>
        <w:jc w:val="center"/>
        <w:tblLook w:val="04A0" w:firstRow="1" w:lastRow="0" w:firstColumn="1" w:lastColumn="0" w:noHBand="0" w:noVBand="1"/>
      </w:tblPr>
      <w:tblGrid>
        <w:gridCol w:w="756"/>
        <w:gridCol w:w="3882"/>
        <w:gridCol w:w="1797"/>
        <w:gridCol w:w="2035"/>
      </w:tblGrid>
      <w:tr w:rsidR="000E5255" w:rsidRPr="006068A2" w14:paraId="3ED26586" w14:textId="77777777" w:rsidTr="00EB7B83">
        <w:trPr>
          <w:trHeight w:val="78"/>
          <w:jc w:val="center"/>
        </w:trPr>
        <w:tc>
          <w:tcPr>
            <w:tcW w:w="756" w:type="dxa"/>
            <w:noWrap/>
            <w:hideMark/>
          </w:tcPr>
          <w:p w14:paraId="369EBC20" w14:textId="77777777" w:rsidR="000E5255" w:rsidRPr="006068A2" w:rsidRDefault="000E5255" w:rsidP="00E03773">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No.</w:t>
            </w:r>
          </w:p>
        </w:tc>
        <w:tc>
          <w:tcPr>
            <w:tcW w:w="3882" w:type="dxa"/>
            <w:noWrap/>
            <w:hideMark/>
          </w:tcPr>
          <w:p w14:paraId="02A3E10F" w14:textId="77777777" w:rsidR="000E5255" w:rsidRPr="006068A2" w:rsidRDefault="000E5255" w:rsidP="00EB7B83">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EAPB</w:t>
            </w:r>
          </w:p>
        </w:tc>
        <w:tc>
          <w:tcPr>
            <w:tcW w:w="1797" w:type="dxa"/>
            <w:noWrap/>
            <w:hideMark/>
          </w:tcPr>
          <w:p w14:paraId="63FDB039" w14:textId="77777777" w:rsidR="000E5255" w:rsidRPr="006068A2" w:rsidRDefault="000E5255" w:rsidP="00454811">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No. DE CASOS</w:t>
            </w:r>
          </w:p>
        </w:tc>
        <w:tc>
          <w:tcPr>
            <w:tcW w:w="2035" w:type="dxa"/>
            <w:noWrap/>
            <w:hideMark/>
          </w:tcPr>
          <w:p w14:paraId="165E6842" w14:textId="77777777" w:rsidR="000E5255" w:rsidRPr="006068A2" w:rsidRDefault="000E5255" w:rsidP="00454811">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PORCENTAJE</w:t>
            </w:r>
          </w:p>
        </w:tc>
      </w:tr>
      <w:tr w:rsidR="000E5255" w:rsidRPr="006068A2" w14:paraId="416AAED1" w14:textId="77777777" w:rsidTr="00EB7B83">
        <w:trPr>
          <w:trHeight w:val="302"/>
          <w:jc w:val="center"/>
        </w:trPr>
        <w:tc>
          <w:tcPr>
            <w:tcW w:w="756" w:type="dxa"/>
            <w:noWrap/>
            <w:hideMark/>
          </w:tcPr>
          <w:p w14:paraId="288D8C57"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w:t>
            </w:r>
          </w:p>
        </w:tc>
        <w:tc>
          <w:tcPr>
            <w:tcW w:w="3882" w:type="dxa"/>
            <w:noWrap/>
            <w:hideMark/>
          </w:tcPr>
          <w:p w14:paraId="594DA418"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NUEVA EPS</w:t>
            </w:r>
          </w:p>
        </w:tc>
        <w:tc>
          <w:tcPr>
            <w:tcW w:w="1797" w:type="dxa"/>
            <w:noWrap/>
            <w:hideMark/>
          </w:tcPr>
          <w:p w14:paraId="129D194B"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2.413</w:t>
            </w:r>
          </w:p>
        </w:tc>
        <w:tc>
          <w:tcPr>
            <w:tcW w:w="2035" w:type="dxa"/>
            <w:noWrap/>
            <w:hideMark/>
          </w:tcPr>
          <w:p w14:paraId="2FE00D4A"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26,9%</w:t>
            </w:r>
          </w:p>
        </w:tc>
      </w:tr>
      <w:tr w:rsidR="000E5255" w:rsidRPr="006068A2" w14:paraId="51A6B6E9" w14:textId="77777777" w:rsidTr="00EB7B83">
        <w:trPr>
          <w:trHeight w:val="302"/>
          <w:jc w:val="center"/>
        </w:trPr>
        <w:tc>
          <w:tcPr>
            <w:tcW w:w="756" w:type="dxa"/>
            <w:noWrap/>
            <w:hideMark/>
          </w:tcPr>
          <w:p w14:paraId="34C16716"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w:t>
            </w:r>
          </w:p>
        </w:tc>
        <w:tc>
          <w:tcPr>
            <w:tcW w:w="3882" w:type="dxa"/>
            <w:noWrap/>
            <w:hideMark/>
          </w:tcPr>
          <w:p w14:paraId="7A9C84B1"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FAMISANAR</w:t>
            </w:r>
          </w:p>
        </w:tc>
        <w:tc>
          <w:tcPr>
            <w:tcW w:w="1797" w:type="dxa"/>
            <w:noWrap/>
            <w:hideMark/>
          </w:tcPr>
          <w:p w14:paraId="619B6200"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1.765</w:t>
            </w:r>
          </w:p>
        </w:tc>
        <w:tc>
          <w:tcPr>
            <w:tcW w:w="2035" w:type="dxa"/>
            <w:noWrap/>
            <w:hideMark/>
          </w:tcPr>
          <w:p w14:paraId="210B82D4"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19,7%</w:t>
            </w:r>
          </w:p>
        </w:tc>
      </w:tr>
      <w:tr w:rsidR="000E5255" w:rsidRPr="006068A2" w14:paraId="5EF92748" w14:textId="77777777" w:rsidTr="00EB7B83">
        <w:trPr>
          <w:trHeight w:val="302"/>
          <w:jc w:val="center"/>
        </w:trPr>
        <w:tc>
          <w:tcPr>
            <w:tcW w:w="756" w:type="dxa"/>
            <w:noWrap/>
            <w:hideMark/>
          </w:tcPr>
          <w:p w14:paraId="03C3F5D2"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3</w:t>
            </w:r>
          </w:p>
        </w:tc>
        <w:tc>
          <w:tcPr>
            <w:tcW w:w="3882" w:type="dxa"/>
            <w:noWrap/>
            <w:hideMark/>
          </w:tcPr>
          <w:p w14:paraId="0FBA1F5B"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COMPENSAR</w:t>
            </w:r>
          </w:p>
        </w:tc>
        <w:tc>
          <w:tcPr>
            <w:tcW w:w="1797" w:type="dxa"/>
            <w:noWrap/>
            <w:hideMark/>
          </w:tcPr>
          <w:p w14:paraId="7251A406"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1.109</w:t>
            </w:r>
          </w:p>
        </w:tc>
        <w:tc>
          <w:tcPr>
            <w:tcW w:w="2035" w:type="dxa"/>
            <w:noWrap/>
            <w:hideMark/>
          </w:tcPr>
          <w:p w14:paraId="410E5C56"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12,4%</w:t>
            </w:r>
          </w:p>
        </w:tc>
      </w:tr>
      <w:tr w:rsidR="000E5255" w:rsidRPr="006068A2" w14:paraId="3BE223B1" w14:textId="77777777" w:rsidTr="00EB7B83">
        <w:trPr>
          <w:trHeight w:val="302"/>
          <w:jc w:val="center"/>
        </w:trPr>
        <w:tc>
          <w:tcPr>
            <w:tcW w:w="756" w:type="dxa"/>
            <w:noWrap/>
            <w:hideMark/>
          </w:tcPr>
          <w:p w14:paraId="1764DF68"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4</w:t>
            </w:r>
          </w:p>
        </w:tc>
        <w:tc>
          <w:tcPr>
            <w:tcW w:w="3882" w:type="dxa"/>
            <w:noWrap/>
            <w:hideMark/>
          </w:tcPr>
          <w:p w14:paraId="13DB61FD"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CAPITAL SALUD</w:t>
            </w:r>
          </w:p>
        </w:tc>
        <w:tc>
          <w:tcPr>
            <w:tcW w:w="1797" w:type="dxa"/>
            <w:noWrap/>
            <w:hideMark/>
          </w:tcPr>
          <w:p w14:paraId="624AEC24"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1.079</w:t>
            </w:r>
          </w:p>
        </w:tc>
        <w:tc>
          <w:tcPr>
            <w:tcW w:w="2035" w:type="dxa"/>
            <w:noWrap/>
            <w:hideMark/>
          </w:tcPr>
          <w:p w14:paraId="6F521AFC"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12,0%</w:t>
            </w:r>
          </w:p>
        </w:tc>
      </w:tr>
      <w:tr w:rsidR="000E5255" w:rsidRPr="006068A2" w14:paraId="774A3DD2" w14:textId="77777777" w:rsidTr="00EB7B83">
        <w:trPr>
          <w:trHeight w:val="302"/>
          <w:jc w:val="center"/>
        </w:trPr>
        <w:tc>
          <w:tcPr>
            <w:tcW w:w="756" w:type="dxa"/>
            <w:noWrap/>
            <w:hideMark/>
          </w:tcPr>
          <w:p w14:paraId="6D8017BD"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5</w:t>
            </w:r>
          </w:p>
        </w:tc>
        <w:tc>
          <w:tcPr>
            <w:tcW w:w="3882" w:type="dxa"/>
            <w:noWrap/>
            <w:hideMark/>
          </w:tcPr>
          <w:p w14:paraId="661B90B7"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SANITAS</w:t>
            </w:r>
          </w:p>
        </w:tc>
        <w:tc>
          <w:tcPr>
            <w:tcW w:w="1797" w:type="dxa"/>
            <w:noWrap/>
            <w:hideMark/>
          </w:tcPr>
          <w:p w14:paraId="4A8B9B6A"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962</w:t>
            </w:r>
          </w:p>
        </w:tc>
        <w:tc>
          <w:tcPr>
            <w:tcW w:w="2035" w:type="dxa"/>
            <w:noWrap/>
            <w:hideMark/>
          </w:tcPr>
          <w:p w14:paraId="68D610AA"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10,7%</w:t>
            </w:r>
          </w:p>
        </w:tc>
      </w:tr>
      <w:tr w:rsidR="000E5255" w:rsidRPr="006068A2" w14:paraId="343728CC" w14:textId="77777777" w:rsidTr="00EB7B83">
        <w:trPr>
          <w:trHeight w:val="302"/>
          <w:jc w:val="center"/>
        </w:trPr>
        <w:tc>
          <w:tcPr>
            <w:tcW w:w="756" w:type="dxa"/>
            <w:noWrap/>
            <w:hideMark/>
          </w:tcPr>
          <w:p w14:paraId="763288FD"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6</w:t>
            </w:r>
          </w:p>
        </w:tc>
        <w:tc>
          <w:tcPr>
            <w:tcW w:w="3882" w:type="dxa"/>
            <w:noWrap/>
            <w:hideMark/>
          </w:tcPr>
          <w:p w14:paraId="0BBE3ABD"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SALUD TOTAL</w:t>
            </w:r>
          </w:p>
        </w:tc>
        <w:tc>
          <w:tcPr>
            <w:tcW w:w="1797" w:type="dxa"/>
            <w:noWrap/>
            <w:hideMark/>
          </w:tcPr>
          <w:p w14:paraId="1BE01CA2"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415</w:t>
            </w:r>
          </w:p>
        </w:tc>
        <w:tc>
          <w:tcPr>
            <w:tcW w:w="2035" w:type="dxa"/>
            <w:noWrap/>
            <w:hideMark/>
          </w:tcPr>
          <w:p w14:paraId="7FB740A0"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4,6%</w:t>
            </w:r>
          </w:p>
        </w:tc>
      </w:tr>
      <w:tr w:rsidR="000E5255" w:rsidRPr="006068A2" w14:paraId="159533FB" w14:textId="77777777" w:rsidTr="00EB7B83">
        <w:trPr>
          <w:trHeight w:val="302"/>
          <w:jc w:val="center"/>
        </w:trPr>
        <w:tc>
          <w:tcPr>
            <w:tcW w:w="756" w:type="dxa"/>
            <w:noWrap/>
            <w:hideMark/>
          </w:tcPr>
          <w:p w14:paraId="4324D886"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7</w:t>
            </w:r>
          </w:p>
        </w:tc>
        <w:tc>
          <w:tcPr>
            <w:tcW w:w="3882" w:type="dxa"/>
            <w:noWrap/>
            <w:hideMark/>
          </w:tcPr>
          <w:p w14:paraId="77937248"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SURA</w:t>
            </w:r>
          </w:p>
        </w:tc>
        <w:tc>
          <w:tcPr>
            <w:tcW w:w="1797" w:type="dxa"/>
            <w:noWrap/>
            <w:hideMark/>
          </w:tcPr>
          <w:p w14:paraId="6E9419AE"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260</w:t>
            </w:r>
          </w:p>
        </w:tc>
        <w:tc>
          <w:tcPr>
            <w:tcW w:w="2035" w:type="dxa"/>
            <w:noWrap/>
            <w:hideMark/>
          </w:tcPr>
          <w:p w14:paraId="42AA2D35"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2,9%</w:t>
            </w:r>
          </w:p>
        </w:tc>
      </w:tr>
      <w:tr w:rsidR="000E5255" w:rsidRPr="006068A2" w14:paraId="73EF6763" w14:textId="77777777" w:rsidTr="00335DEA">
        <w:trPr>
          <w:trHeight w:val="302"/>
          <w:jc w:val="center"/>
        </w:trPr>
        <w:tc>
          <w:tcPr>
            <w:tcW w:w="756" w:type="dxa"/>
            <w:shd w:val="clear" w:color="auto" w:fill="FBE4D5" w:themeFill="accent2" w:themeFillTint="33"/>
            <w:noWrap/>
            <w:hideMark/>
          </w:tcPr>
          <w:p w14:paraId="17F7E2FA"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8</w:t>
            </w:r>
          </w:p>
        </w:tc>
        <w:tc>
          <w:tcPr>
            <w:tcW w:w="3882" w:type="dxa"/>
            <w:shd w:val="clear" w:color="auto" w:fill="FBE4D5" w:themeFill="accent2" w:themeFillTint="33"/>
            <w:noWrap/>
            <w:hideMark/>
          </w:tcPr>
          <w:p w14:paraId="1BCB4C8A"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COOSALUD</w:t>
            </w:r>
          </w:p>
        </w:tc>
        <w:tc>
          <w:tcPr>
            <w:tcW w:w="1797" w:type="dxa"/>
            <w:shd w:val="clear" w:color="auto" w:fill="FBE4D5" w:themeFill="accent2" w:themeFillTint="33"/>
            <w:noWrap/>
            <w:hideMark/>
          </w:tcPr>
          <w:p w14:paraId="61441B0E" w14:textId="77777777" w:rsidR="000E5255" w:rsidRPr="006068A2" w:rsidRDefault="000E5255" w:rsidP="00454811">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199</w:t>
            </w:r>
          </w:p>
        </w:tc>
        <w:tc>
          <w:tcPr>
            <w:tcW w:w="2035" w:type="dxa"/>
            <w:shd w:val="clear" w:color="auto" w:fill="FBE4D5" w:themeFill="accent2" w:themeFillTint="33"/>
            <w:noWrap/>
            <w:hideMark/>
          </w:tcPr>
          <w:p w14:paraId="0CCEC886" w14:textId="77777777" w:rsidR="000E5255" w:rsidRPr="006068A2" w:rsidRDefault="000E5255" w:rsidP="00454811">
            <w:pPr>
              <w:jc w:val="center"/>
              <w:rPr>
                <w:rFonts w:ascii="Arial" w:hAnsi="Arial" w:cs="Arial"/>
                <w:b/>
                <w:bCs/>
                <w:color w:val="000000"/>
                <w:kern w:val="0"/>
                <w:sz w:val="22"/>
                <w:szCs w:val="22"/>
                <w:lang w:eastAsia="es-CO"/>
                <w14:ligatures w14:val="none"/>
              </w:rPr>
            </w:pPr>
            <w:r w:rsidRPr="006068A2">
              <w:rPr>
                <w:rFonts w:ascii="Arial" w:hAnsi="Arial" w:cs="Arial"/>
                <w:b/>
                <w:bCs/>
                <w:color w:val="000000"/>
                <w:kern w:val="0"/>
                <w:sz w:val="22"/>
                <w:szCs w:val="22"/>
                <w:lang w:eastAsia="es-CO"/>
                <w14:ligatures w14:val="none"/>
              </w:rPr>
              <w:t>2,2%</w:t>
            </w:r>
          </w:p>
        </w:tc>
      </w:tr>
      <w:tr w:rsidR="000E5255" w:rsidRPr="006068A2" w14:paraId="5823E642" w14:textId="77777777" w:rsidTr="00EB7B83">
        <w:trPr>
          <w:trHeight w:val="302"/>
          <w:jc w:val="center"/>
        </w:trPr>
        <w:tc>
          <w:tcPr>
            <w:tcW w:w="756" w:type="dxa"/>
            <w:noWrap/>
            <w:hideMark/>
          </w:tcPr>
          <w:p w14:paraId="425E2F56"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9</w:t>
            </w:r>
          </w:p>
        </w:tc>
        <w:tc>
          <w:tcPr>
            <w:tcW w:w="3882" w:type="dxa"/>
            <w:noWrap/>
            <w:hideMark/>
          </w:tcPr>
          <w:p w14:paraId="324ABF26"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FOMAG</w:t>
            </w:r>
          </w:p>
        </w:tc>
        <w:tc>
          <w:tcPr>
            <w:tcW w:w="1797" w:type="dxa"/>
            <w:noWrap/>
            <w:hideMark/>
          </w:tcPr>
          <w:p w14:paraId="7893E486"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138</w:t>
            </w:r>
          </w:p>
        </w:tc>
        <w:tc>
          <w:tcPr>
            <w:tcW w:w="2035" w:type="dxa"/>
            <w:noWrap/>
            <w:hideMark/>
          </w:tcPr>
          <w:p w14:paraId="5CB2F312"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1,5%</w:t>
            </w:r>
          </w:p>
        </w:tc>
      </w:tr>
      <w:tr w:rsidR="000E5255" w:rsidRPr="006068A2" w14:paraId="45A0281E" w14:textId="77777777" w:rsidTr="00EB7B83">
        <w:trPr>
          <w:trHeight w:val="302"/>
          <w:jc w:val="center"/>
        </w:trPr>
        <w:tc>
          <w:tcPr>
            <w:tcW w:w="756" w:type="dxa"/>
            <w:noWrap/>
            <w:hideMark/>
          </w:tcPr>
          <w:p w14:paraId="74456151" w14:textId="77777777" w:rsidR="000E5255" w:rsidRPr="006068A2" w:rsidRDefault="000E5255" w:rsidP="00E03773">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w:t>
            </w:r>
          </w:p>
        </w:tc>
        <w:tc>
          <w:tcPr>
            <w:tcW w:w="3882" w:type="dxa"/>
            <w:noWrap/>
            <w:hideMark/>
          </w:tcPr>
          <w:p w14:paraId="24B35D7C" w14:textId="77777777" w:rsidR="000E5255" w:rsidRPr="006068A2" w:rsidRDefault="000E5255" w:rsidP="00EB7B83">
            <w:pPr>
              <w:jc w:val="both"/>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FFD (no asegurado)</w:t>
            </w:r>
          </w:p>
        </w:tc>
        <w:tc>
          <w:tcPr>
            <w:tcW w:w="1797" w:type="dxa"/>
            <w:noWrap/>
            <w:hideMark/>
          </w:tcPr>
          <w:p w14:paraId="101617AC"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92</w:t>
            </w:r>
          </w:p>
        </w:tc>
        <w:tc>
          <w:tcPr>
            <w:tcW w:w="2035" w:type="dxa"/>
            <w:noWrap/>
            <w:hideMark/>
          </w:tcPr>
          <w:p w14:paraId="3A96C8BF" w14:textId="77777777" w:rsidR="000E5255" w:rsidRPr="006068A2" w:rsidRDefault="000E5255" w:rsidP="00454811">
            <w:pPr>
              <w:jc w:val="center"/>
              <w:rPr>
                <w:rFonts w:ascii="Arial" w:hAnsi="Arial" w:cs="Arial"/>
                <w:color w:val="000000"/>
                <w:kern w:val="0"/>
                <w:sz w:val="22"/>
                <w:szCs w:val="22"/>
                <w:lang w:eastAsia="es-CO"/>
                <w14:ligatures w14:val="none"/>
              </w:rPr>
            </w:pPr>
            <w:r w:rsidRPr="006068A2">
              <w:rPr>
                <w:rFonts w:ascii="Arial" w:hAnsi="Arial" w:cs="Arial"/>
                <w:color w:val="000000"/>
                <w:kern w:val="0"/>
                <w:sz w:val="22"/>
                <w:szCs w:val="22"/>
                <w:lang w:eastAsia="es-CO"/>
                <w14:ligatures w14:val="none"/>
              </w:rPr>
              <w:t>1,0%</w:t>
            </w:r>
          </w:p>
        </w:tc>
      </w:tr>
      <w:tr w:rsidR="00454811" w:rsidRPr="006068A2" w14:paraId="41D6EDFE" w14:textId="77777777" w:rsidTr="00EB7B83">
        <w:trPr>
          <w:trHeight w:val="302"/>
          <w:jc w:val="center"/>
        </w:trPr>
        <w:tc>
          <w:tcPr>
            <w:tcW w:w="756" w:type="dxa"/>
            <w:noWrap/>
          </w:tcPr>
          <w:p w14:paraId="1320DA9C" w14:textId="3CE88280" w:rsidR="00454811" w:rsidRPr="006068A2" w:rsidRDefault="00454811" w:rsidP="00E03773">
            <w:pPr>
              <w:jc w:val="center"/>
              <w:rPr>
                <w:rFonts w:ascii="Arial" w:hAnsi="Arial" w:cs="Arial"/>
                <w:color w:val="000000"/>
                <w:sz w:val="22"/>
                <w:szCs w:val="22"/>
                <w:lang w:eastAsia="es-CO"/>
              </w:rPr>
            </w:pPr>
            <w:r>
              <w:rPr>
                <w:rFonts w:ascii="Arial" w:hAnsi="Arial" w:cs="Arial"/>
                <w:color w:val="000000"/>
                <w:sz w:val="22"/>
                <w:szCs w:val="22"/>
                <w:lang w:eastAsia="es-CO"/>
              </w:rPr>
              <w:t>11</w:t>
            </w:r>
          </w:p>
        </w:tc>
        <w:tc>
          <w:tcPr>
            <w:tcW w:w="3882" w:type="dxa"/>
            <w:noWrap/>
          </w:tcPr>
          <w:p w14:paraId="6E6F477E" w14:textId="0448976F" w:rsidR="00454811" w:rsidRPr="006068A2" w:rsidRDefault="006E486C" w:rsidP="00EB7B83">
            <w:pPr>
              <w:jc w:val="both"/>
              <w:rPr>
                <w:rFonts w:ascii="Arial" w:hAnsi="Arial" w:cs="Arial"/>
                <w:color w:val="000000"/>
                <w:sz w:val="22"/>
                <w:szCs w:val="22"/>
                <w:lang w:eastAsia="es-CO"/>
              </w:rPr>
            </w:pPr>
            <w:r>
              <w:rPr>
                <w:rFonts w:ascii="Arial" w:hAnsi="Arial" w:cs="Arial"/>
                <w:color w:val="000000"/>
                <w:sz w:val="22"/>
                <w:szCs w:val="22"/>
                <w:lang w:eastAsia="es-CO"/>
              </w:rPr>
              <w:t>Otros</w:t>
            </w:r>
            <w:r w:rsidR="0038644E">
              <w:rPr>
                <w:rStyle w:val="Refdenotaalpie"/>
                <w:rFonts w:ascii="Arial" w:hAnsi="Arial" w:cs="Arial"/>
                <w:color w:val="000000"/>
                <w:sz w:val="22"/>
                <w:szCs w:val="22"/>
                <w:lang w:eastAsia="es-CO"/>
              </w:rPr>
              <w:footnoteReference w:id="9"/>
            </w:r>
          </w:p>
        </w:tc>
        <w:tc>
          <w:tcPr>
            <w:tcW w:w="1797" w:type="dxa"/>
            <w:noWrap/>
          </w:tcPr>
          <w:p w14:paraId="3E16AF26" w14:textId="2F07A3EF" w:rsidR="00454811" w:rsidRPr="006068A2" w:rsidRDefault="00454811" w:rsidP="00454811">
            <w:pPr>
              <w:jc w:val="center"/>
              <w:rPr>
                <w:rFonts w:ascii="Arial" w:hAnsi="Arial" w:cs="Arial"/>
                <w:color w:val="000000"/>
                <w:sz w:val="22"/>
                <w:szCs w:val="22"/>
                <w:lang w:eastAsia="es-CO"/>
              </w:rPr>
            </w:pPr>
            <w:r>
              <w:rPr>
                <w:rFonts w:ascii="Arial" w:hAnsi="Arial" w:cs="Arial"/>
                <w:color w:val="000000"/>
                <w:sz w:val="22"/>
                <w:szCs w:val="22"/>
                <w:lang w:eastAsia="es-CO"/>
              </w:rPr>
              <w:t>523</w:t>
            </w:r>
          </w:p>
        </w:tc>
        <w:tc>
          <w:tcPr>
            <w:tcW w:w="2035" w:type="dxa"/>
            <w:noWrap/>
          </w:tcPr>
          <w:p w14:paraId="074A20BF" w14:textId="2E3CA033" w:rsidR="00454811" w:rsidRPr="006068A2" w:rsidRDefault="00454811" w:rsidP="00454811">
            <w:pPr>
              <w:jc w:val="center"/>
              <w:rPr>
                <w:rFonts w:ascii="Arial" w:hAnsi="Arial" w:cs="Arial"/>
                <w:color w:val="000000"/>
                <w:sz w:val="22"/>
                <w:szCs w:val="22"/>
                <w:lang w:eastAsia="es-CO"/>
              </w:rPr>
            </w:pPr>
            <w:r>
              <w:rPr>
                <w:rFonts w:ascii="Arial" w:hAnsi="Arial" w:cs="Arial"/>
                <w:color w:val="000000"/>
                <w:sz w:val="22"/>
                <w:szCs w:val="22"/>
                <w:lang w:eastAsia="es-CO"/>
              </w:rPr>
              <w:t>5,8%</w:t>
            </w:r>
          </w:p>
        </w:tc>
      </w:tr>
      <w:tr w:rsidR="00050F77" w:rsidRPr="006068A2" w14:paraId="3F2D5B18" w14:textId="77777777" w:rsidTr="00EB7B83">
        <w:trPr>
          <w:trHeight w:val="78"/>
          <w:jc w:val="center"/>
        </w:trPr>
        <w:tc>
          <w:tcPr>
            <w:tcW w:w="756" w:type="dxa"/>
            <w:noWrap/>
            <w:hideMark/>
          </w:tcPr>
          <w:p w14:paraId="2C2FF3D9" w14:textId="77777777" w:rsidR="00050F77" w:rsidRPr="006068A2" w:rsidRDefault="00050F77" w:rsidP="00E03773">
            <w:pPr>
              <w:jc w:val="center"/>
              <w:rPr>
                <w:rFonts w:ascii="Arial" w:hAnsi="Arial" w:cs="Arial"/>
                <w:color w:val="000000"/>
                <w:kern w:val="0"/>
                <w:sz w:val="22"/>
                <w:szCs w:val="22"/>
                <w:lang w:eastAsia="es-CO"/>
                <w14:ligatures w14:val="none"/>
              </w:rPr>
            </w:pPr>
          </w:p>
        </w:tc>
        <w:tc>
          <w:tcPr>
            <w:tcW w:w="3882" w:type="dxa"/>
            <w:noWrap/>
          </w:tcPr>
          <w:p w14:paraId="46AA835B" w14:textId="7D287169" w:rsidR="00050F77" w:rsidRPr="0007677A" w:rsidRDefault="0007677A" w:rsidP="00EB7B83">
            <w:pPr>
              <w:jc w:val="both"/>
              <w:rPr>
                <w:rFonts w:ascii="Arial" w:hAnsi="Arial" w:cs="Arial"/>
                <w:kern w:val="0"/>
                <w:sz w:val="22"/>
                <w:szCs w:val="22"/>
                <w:lang w:eastAsia="es-CO"/>
                <w14:ligatures w14:val="none"/>
              </w:rPr>
            </w:pPr>
            <w:r w:rsidRPr="0007677A">
              <w:rPr>
                <w:rFonts w:ascii="Arial" w:hAnsi="Arial" w:cs="Arial"/>
                <w:b/>
                <w:bCs/>
                <w:color w:val="000000"/>
                <w:kern w:val="0"/>
                <w:sz w:val="22"/>
                <w:szCs w:val="22"/>
                <w:lang w:eastAsia="es-CO"/>
                <w14:ligatures w14:val="none"/>
              </w:rPr>
              <w:t>Total,</w:t>
            </w:r>
            <w:r w:rsidR="00050F77" w:rsidRPr="0007677A">
              <w:rPr>
                <w:rFonts w:ascii="Arial" w:hAnsi="Arial" w:cs="Arial"/>
                <w:b/>
                <w:bCs/>
                <w:color w:val="000000"/>
                <w:kern w:val="0"/>
                <w:sz w:val="22"/>
                <w:szCs w:val="22"/>
                <w:lang w:eastAsia="es-CO"/>
                <w14:ligatures w14:val="none"/>
              </w:rPr>
              <w:t xml:space="preserve"> casos</w:t>
            </w:r>
          </w:p>
        </w:tc>
        <w:tc>
          <w:tcPr>
            <w:tcW w:w="1797" w:type="dxa"/>
            <w:noWrap/>
          </w:tcPr>
          <w:p w14:paraId="167E0464" w14:textId="0FD8CC6D" w:rsidR="00050F77" w:rsidRPr="0007677A" w:rsidRDefault="00050F77" w:rsidP="00454811">
            <w:pPr>
              <w:jc w:val="center"/>
              <w:rPr>
                <w:rFonts w:ascii="Arial" w:hAnsi="Arial" w:cs="Arial"/>
                <w:kern w:val="0"/>
                <w:sz w:val="22"/>
                <w:szCs w:val="22"/>
                <w:lang w:eastAsia="es-CO"/>
                <w14:ligatures w14:val="none"/>
              </w:rPr>
            </w:pPr>
            <w:r w:rsidRPr="0007677A">
              <w:rPr>
                <w:rFonts w:ascii="Arial" w:hAnsi="Arial" w:cs="Arial"/>
                <w:b/>
                <w:bCs/>
                <w:color w:val="000000"/>
                <w:kern w:val="0"/>
                <w:sz w:val="22"/>
                <w:szCs w:val="22"/>
                <w:lang w:eastAsia="es-CO"/>
                <w14:ligatures w14:val="none"/>
              </w:rPr>
              <w:t>8.955</w:t>
            </w:r>
          </w:p>
        </w:tc>
        <w:tc>
          <w:tcPr>
            <w:tcW w:w="2035" w:type="dxa"/>
            <w:noWrap/>
            <w:hideMark/>
          </w:tcPr>
          <w:p w14:paraId="7B7B2AFE" w14:textId="03018A76" w:rsidR="00050F77" w:rsidRPr="006068A2" w:rsidRDefault="000D21E7" w:rsidP="00454811">
            <w:pPr>
              <w:jc w:val="center"/>
              <w:rPr>
                <w:rFonts w:ascii="Arial" w:hAnsi="Arial" w:cs="Arial"/>
                <w:kern w:val="0"/>
                <w:sz w:val="22"/>
                <w:szCs w:val="22"/>
                <w:lang w:eastAsia="es-CO"/>
                <w14:ligatures w14:val="none"/>
              </w:rPr>
            </w:pPr>
            <w:r>
              <w:rPr>
                <w:rFonts w:ascii="Arial" w:hAnsi="Arial" w:cs="Arial"/>
                <w:kern w:val="0"/>
                <w:sz w:val="22"/>
                <w:szCs w:val="22"/>
                <w:lang w:eastAsia="es-CO"/>
                <w14:ligatures w14:val="none"/>
              </w:rPr>
              <w:t>100%</w:t>
            </w:r>
          </w:p>
        </w:tc>
      </w:tr>
    </w:tbl>
    <w:p w14:paraId="16C40DD0" w14:textId="4559C2DE" w:rsidR="000E5255" w:rsidRPr="00905226" w:rsidRDefault="000E5255" w:rsidP="006068A2">
      <w:pPr>
        <w:spacing w:line="360" w:lineRule="auto"/>
        <w:jc w:val="both"/>
        <w:rPr>
          <w:rFonts w:ascii="Arial" w:hAnsi="Arial" w:cs="Arial"/>
          <w:sz w:val="16"/>
          <w:szCs w:val="16"/>
          <w:lang w:val="es-ES"/>
        </w:rPr>
      </w:pPr>
      <w:r w:rsidRPr="00905226">
        <w:rPr>
          <w:rFonts w:ascii="Arial" w:hAnsi="Arial" w:cs="Arial"/>
          <w:sz w:val="16"/>
          <w:szCs w:val="16"/>
          <w:lang w:val="es-ES"/>
        </w:rPr>
        <w:lastRenderedPageBreak/>
        <w:t>F</w:t>
      </w:r>
      <w:r w:rsidR="00972E1E" w:rsidRPr="00905226">
        <w:rPr>
          <w:rFonts w:ascii="Arial" w:hAnsi="Arial" w:cs="Arial"/>
          <w:sz w:val="16"/>
          <w:szCs w:val="16"/>
          <w:lang w:val="es-ES"/>
        </w:rPr>
        <w:t>uente</w:t>
      </w:r>
      <w:r w:rsidRPr="00905226">
        <w:rPr>
          <w:rFonts w:ascii="Arial" w:hAnsi="Arial" w:cs="Arial"/>
          <w:sz w:val="16"/>
          <w:szCs w:val="16"/>
          <w:lang w:val="es-ES"/>
        </w:rPr>
        <w:t>: Reporte de Google Forms del Número de casos especiales detectados por GAMA (27/05/2025 - 31/01/2026)</w:t>
      </w:r>
    </w:p>
    <w:p w14:paraId="30823A7A" w14:textId="77777777" w:rsidR="00EB7B83" w:rsidRDefault="00EB7B83" w:rsidP="006068A2">
      <w:pPr>
        <w:spacing w:line="360" w:lineRule="auto"/>
        <w:jc w:val="both"/>
        <w:rPr>
          <w:rFonts w:ascii="Arial" w:hAnsi="Arial" w:cs="Arial"/>
          <w:sz w:val="22"/>
          <w:szCs w:val="22"/>
          <w:lang w:val="es-ES"/>
        </w:rPr>
      </w:pPr>
    </w:p>
    <w:p w14:paraId="5DC89C6A" w14:textId="77777777" w:rsidR="00CE7661" w:rsidRDefault="00CE7661" w:rsidP="00CE7661">
      <w:pPr>
        <w:spacing w:line="360" w:lineRule="auto"/>
        <w:jc w:val="both"/>
        <w:rPr>
          <w:rFonts w:ascii="Arial" w:hAnsi="Arial" w:cs="Arial"/>
          <w:sz w:val="22"/>
          <w:szCs w:val="22"/>
        </w:rPr>
      </w:pPr>
      <w:r w:rsidRPr="00CE7661">
        <w:rPr>
          <w:rFonts w:ascii="Arial" w:hAnsi="Arial" w:cs="Arial"/>
          <w:sz w:val="22"/>
          <w:szCs w:val="22"/>
        </w:rPr>
        <w:t xml:space="preserve">En términos comparativos, COOSALUD EPS representa una proporción relativamente baja dentro del total de eventos detectados por GAMA. No obstante, el número absoluto de </w:t>
      </w:r>
      <w:r w:rsidRPr="00CE7661">
        <w:rPr>
          <w:rFonts w:ascii="Arial" w:hAnsi="Arial" w:cs="Arial"/>
          <w:b/>
          <w:bCs/>
          <w:sz w:val="22"/>
          <w:szCs w:val="22"/>
        </w:rPr>
        <w:t>199 casos</w:t>
      </w:r>
      <w:r w:rsidRPr="00CE7661">
        <w:rPr>
          <w:rFonts w:ascii="Arial" w:hAnsi="Arial" w:cs="Arial"/>
          <w:sz w:val="22"/>
          <w:szCs w:val="22"/>
        </w:rPr>
        <w:t xml:space="preserve"> mantiene relevancia analítica, en la medida en que se trata de situaciones de inoportunidad en procesos críticos de referencia, remisión, traslado e interconsulta, con potencial afectación sobre la continuidad, integralidad y oportunidad de la atención de los usuarios afiliados.</w:t>
      </w:r>
    </w:p>
    <w:p w14:paraId="5EFDDFBA" w14:textId="77777777" w:rsidR="00307D6E" w:rsidRPr="00CE7661" w:rsidRDefault="00307D6E" w:rsidP="00CE7661">
      <w:pPr>
        <w:spacing w:line="360" w:lineRule="auto"/>
        <w:jc w:val="both"/>
        <w:rPr>
          <w:rFonts w:ascii="Arial" w:hAnsi="Arial" w:cs="Arial"/>
          <w:sz w:val="22"/>
          <w:szCs w:val="22"/>
        </w:rPr>
      </w:pPr>
    </w:p>
    <w:p w14:paraId="74257FCC" w14:textId="77777777" w:rsidR="00CE7661" w:rsidRPr="00CE7661" w:rsidRDefault="00CE7661" w:rsidP="00CE7661">
      <w:pPr>
        <w:spacing w:line="360" w:lineRule="auto"/>
        <w:jc w:val="both"/>
        <w:rPr>
          <w:rFonts w:ascii="Arial" w:hAnsi="Arial" w:cs="Arial"/>
          <w:sz w:val="22"/>
          <w:szCs w:val="22"/>
        </w:rPr>
      </w:pPr>
      <w:r w:rsidRPr="00CE7661">
        <w:rPr>
          <w:rFonts w:ascii="Arial" w:hAnsi="Arial" w:cs="Arial"/>
          <w:sz w:val="22"/>
          <w:szCs w:val="22"/>
        </w:rPr>
        <w:t>Ahora bien, al realizar el cruce de estos 199 casos con la red prestadora reportada por COOSALUD EPS, se identificó que 151 casos, equivalentes al 75,9%, correspondieron a instituciones que sí hacían parte de la red contratada por la EPS. Este hallazgo es importante porque indica que la mayor proporción de eventos de inoportunidad no se explica únicamente por ausencia de contratación o atención fuera de red, sino por dificultades presentadas dentro de la red efectivamente habilitada para la atención de los afiliados.</w:t>
      </w:r>
    </w:p>
    <w:p w14:paraId="4D79EA5D" w14:textId="77777777" w:rsidR="001A7B43" w:rsidRPr="00CE7661" w:rsidRDefault="001A7B43" w:rsidP="006068A2">
      <w:pPr>
        <w:spacing w:line="360" w:lineRule="auto"/>
        <w:jc w:val="both"/>
        <w:rPr>
          <w:rFonts w:ascii="Arial" w:hAnsi="Arial" w:cs="Arial"/>
          <w:sz w:val="22"/>
          <w:szCs w:val="22"/>
        </w:rPr>
      </w:pPr>
    </w:p>
    <w:p w14:paraId="4C8E5969" w14:textId="51E30750" w:rsidR="000E5255" w:rsidRPr="006068A2"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58" w:name="_Toc229395874"/>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1A7B43">
        <w:rPr>
          <w:rFonts w:ascii="Arial" w:hAnsi="Arial" w:cs="Arial"/>
          <w:bCs/>
          <w:i w:val="0"/>
          <w:iCs w:val="0"/>
          <w:noProof/>
          <w:color w:val="000000" w:themeColor="text1"/>
          <w:sz w:val="22"/>
          <w:szCs w:val="22"/>
          <w:lang w:val="es-MX"/>
        </w:rPr>
        <w:t>17</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F600C2" w:rsidRPr="00F600C2">
        <w:rPr>
          <w:rFonts w:ascii="Arial" w:hAnsi="Arial" w:cs="Arial"/>
          <w:bCs/>
          <w:i w:val="0"/>
          <w:iCs w:val="0"/>
          <w:color w:val="000000" w:themeColor="text1"/>
          <w:sz w:val="22"/>
          <w:szCs w:val="22"/>
          <w:lang w:val="es-MX"/>
        </w:rPr>
        <w:t>Casos por IPS identificadas dentro de la red prestadora reportada por COOSALUD EPS</w:t>
      </w:r>
      <w:bookmarkEnd w:id="58"/>
    </w:p>
    <w:p w14:paraId="5C3A35B1" w14:textId="77777777" w:rsidR="00F600C2" w:rsidRDefault="00F600C2" w:rsidP="006068A2">
      <w:pPr>
        <w:spacing w:line="360" w:lineRule="auto"/>
        <w:jc w:val="both"/>
        <w:rPr>
          <w:rFonts w:ascii="Arial" w:hAnsi="Arial" w:cs="Arial"/>
          <w:sz w:val="16"/>
          <w:szCs w:val="16"/>
          <w:lang w:val="es-ES"/>
        </w:rPr>
      </w:pPr>
    </w:p>
    <w:tbl>
      <w:tblPr>
        <w:tblStyle w:val="Tablaconcuadrcula"/>
        <w:tblW w:w="0" w:type="auto"/>
        <w:jc w:val="center"/>
        <w:tblLook w:val="04A0" w:firstRow="1" w:lastRow="0" w:firstColumn="1" w:lastColumn="0" w:noHBand="0" w:noVBand="1"/>
      </w:tblPr>
      <w:tblGrid>
        <w:gridCol w:w="4618"/>
        <w:gridCol w:w="1630"/>
        <w:gridCol w:w="1341"/>
      </w:tblGrid>
      <w:tr w:rsidR="00F600C2" w:rsidRPr="00F600C2" w14:paraId="4ECF2250" w14:textId="77777777" w:rsidTr="00F600C2">
        <w:trPr>
          <w:jc w:val="center"/>
        </w:trPr>
        <w:tc>
          <w:tcPr>
            <w:tcW w:w="0" w:type="auto"/>
            <w:hideMark/>
          </w:tcPr>
          <w:p w14:paraId="7D8B52D8" w14:textId="77777777" w:rsidR="00F600C2" w:rsidRPr="00F600C2" w:rsidRDefault="00F600C2" w:rsidP="00F600C2">
            <w:pPr>
              <w:spacing w:line="360" w:lineRule="auto"/>
              <w:jc w:val="both"/>
              <w:rPr>
                <w:rFonts w:ascii="Arial" w:hAnsi="Arial" w:cs="Arial"/>
                <w:b/>
                <w:bCs/>
                <w:sz w:val="22"/>
                <w:szCs w:val="22"/>
              </w:rPr>
            </w:pPr>
            <w:r w:rsidRPr="00F600C2">
              <w:rPr>
                <w:rFonts w:ascii="Arial" w:hAnsi="Arial" w:cs="Arial"/>
                <w:b/>
                <w:bCs/>
                <w:sz w:val="22"/>
                <w:szCs w:val="22"/>
              </w:rPr>
              <w:t>IPS</w:t>
            </w:r>
          </w:p>
        </w:tc>
        <w:tc>
          <w:tcPr>
            <w:tcW w:w="0" w:type="auto"/>
            <w:hideMark/>
          </w:tcPr>
          <w:p w14:paraId="64F6193C" w14:textId="3B328AE6" w:rsidR="00F600C2" w:rsidRPr="00F600C2" w:rsidRDefault="00F600C2" w:rsidP="00F600C2">
            <w:pPr>
              <w:spacing w:line="360" w:lineRule="auto"/>
              <w:jc w:val="center"/>
              <w:rPr>
                <w:rFonts w:ascii="Arial" w:hAnsi="Arial" w:cs="Arial"/>
                <w:b/>
                <w:bCs/>
                <w:sz w:val="22"/>
                <w:szCs w:val="22"/>
              </w:rPr>
            </w:pPr>
            <w:r w:rsidRPr="00F600C2">
              <w:rPr>
                <w:rFonts w:ascii="Arial" w:hAnsi="Arial" w:cs="Arial"/>
                <w:b/>
                <w:bCs/>
                <w:sz w:val="22"/>
                <w:szCs w:val="22"/>
              </w:rPr>
              <w:t>Total,</w:t>
            </w:r>
            <w:r w:rsidRPr="00F600C2">
              <w:rPr>
                <w:rFonts w:ascii="Arial" w:hAnsi="Arial" w:cs="Arial"/>
                <w:b/>
                <w:bCs/>
                <w:sz w:val="22"/>
                <w:szCs w:val="22"/>
              </w:rPr>
              <w:t xml:space="preserve"> general</w:t>
            </w:r>
          </w:p>
        </w:tc>
        <w:tc>
          <w:tcPr>
            <w:tcW w:w="0" w:type="auto"/>
            <w:hideMark/>
          </w:tcPr>
          <w:p w14:paraId="5032FADF" w14:textId="77777777" w:rsidR="00F600C2" w:rsidRPr="00F600C2" w:rsidRDefault="00F600C2" w:rsidP="00F600C2">
            <w:pPr>
              <w:spacing w:line="360" w:lineRule="auto"/>
              <w:jc w:val="center"/>
              <w:rPr>
                <w:rFonts w:ascii="Arial" w:hAnsi="Arial" w:cs="Arial"/>
                <w:b/>
                <w:bCs/>
                <w:sz w:val="22"/>
                <w:szCs w:val="22"/>
              </w:rPr>
            </w:pPr>
            <w:r w:rsidRPr="00F600C2">
              <w:rPr>
                <w:rFonts w:ascii="Arial" w:hAnsi="Arial" w:cs="Arial"/>
                <w:b/>
                <w:bCs/>
                <w:sz w:val="22"/>
                <w:szCs w:val="22"/>
              </w:rPr>
              <w:t>Porcentaje</w:t>
            </w:r>
          </w:p>
        </w:tc>
      </w:tr>
      <w:tr w:rsidR="00F600C2" w:rsidRPr="00F600C2" w14:paraId="77FE23DE" w14:textId="77777777" w:rsidTr="00F600C2">
        <w:trPr>
          <w:jc w:val="center"/>
        </w:trPr>
        <w:tc>
          <w:tcPr>
            <w:tcW w:w="0" w:type="auto"/>
            <w:hideMark/>
          </w:tcPr>
          <w:p w14:paraId="7B644714"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NORTE - USS Simón Bolívar</w:t>
            </w:r>
          </w:p>
        </w:tc>
        <w:tc>
          <w:tcPr>
            <w:tcW w:w="0" w:type="auto"/>
            <w:hideMark/>
          </w:tcPr>
          <w:p w14:paraId="5107B94F"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46</w:t>
            </w:r>
          </w:p>
        </w:tc>
        <w:tc>
          <w:tcPr>
            <w:tcW w:w="0" w:type="auto"/>
            <w:hideMark/>
          </w:tcPr>
          <w:p w14:paraId="305CED08"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23,1%</w:t>
            </w:r>
          </w:p>
        </w:tc>
      </w:tr>
      <w:tr w:rsidR="00F600C2" w:rsidRPr="00F600C2" w14:paraId="1FF53A2C" w14:textId="77777777" w:rsidTr="00F600C2">
        <w:trPr>
          <w:jc w:val="center"/>
        </w:trPr>
        <w:tc>
          <w:tcPr>
            <w:tcW w:w="0" w:type="auto"/>
            <w:hideMark/>
          </w:tcPr>
          <w:p w14:paraId="6BB3054A"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SUR - USS Meissen</w:t>
            </w:r>
          </w:p>
        </w:tc>
        <w:tc>
          <w:tcPr>
            <w:tcW w:w="0" w:type="auto"/>
            <w:hideMark/>
          </w:tcPr>
          <w:p w14:paraId="4DDEDBA6"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28</w:t>
            </w:r>
          </w:p>
        </w:tc>
        <w:tc>
          <w:tcPr>
            <w:tcW w:w="0" w:type="auto"/>
            <w:hideMark/>
          </w:tcPr>
          <w:p w14:paraId="799D3B34"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14,1%</w:t>
            </w:r>
          </w:p>
        </w:tc>
      </w:tr>
      <w:tr w:rsidR="00F600C2" w:rsidRPr="00F600C2" w14:paraId="77893BA8" w14:textId="77777777" w:rsidTr="00F600C2">
        <w:trPr>
          <w:jc w:val="center"/>
        </w:trPr>
        <w:tc>
          <w:tcPr>
            <w:tcW w:w="0" w:type="auto"/>
            <w:hideMark/>
          </w:tcPr>
          <w:p w14:paraId="1DC55C44" w14:textId="77777777" w:rsidR="00F600C2" w:rsidRPr="00F600C2" w:rsidRDefault="00F600C2" w:rsidP="00F600C2">
            <w:pPr>
              <w:spacing w:line="360" w:lineRule="auto"/>
              <w:jc w:val="both"/>
              <w:rPr>
                <w:rFonts w:ascii="Arial" w:hAnsi="Arial" w:cs="Arial"/>
                <w:sz w:val="22"/>
                <w:szCs w:val="22"/>
                <w:lang w:val="en-US"/>
              </w:rPr>
            </w:pPr>
            <w:r w:rsidRPr="00F600C2">
              <w:rPr>
                <w:rFonts w:ascii="Arial" w:hAnsi="Arial" w:cs="Arial"/>
                <w:sz w:val="22"/>
                <w:szCs w:val="22"/>
                <w:lang w:val="en-US"/>
              </w:rPr>
              <w:t>SISS SUR OCCIDENTE - USS Kennedy</w:t>
            </w:r>
          </w:p>
        </w:tc>
        <w:tc>
          <w:tcPr>
            <w:tcW w:w="0" w:type="auto"/>
            <w:hideMark/>
          </w:tcPr>
          <w:p w14:paraId="37714B9C"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20</w:t>
            </w:r>
          </w:p>
        </w:tc>
        <w:tc>
          <w:tcPr>
            <w:tcW w:w="0" w:type="auto"/>
            <w:hideMark/>
          </w:tcPr>
          <w:p w14:paraId="106E6E46"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10,1%</w:t>
            </w:r>
          </w:p>
        </w:tc>
      </w:tr>
      <w:tr w:rsidR="00F600C2" w:rsidRPr="00F600C2" w14:paraId="1143DD36" w14:textId="77777777" w:rsidTr="00F600C2">
        <w:trPr>
          <w:jc w:val="center"/>
        </w:trPr>
        <w:tc>
          <w:tcPr>
            <w:tcW w:w="0" w:type="auto"/>
            <w:hideMark/>
          </w:tcPr>
          <w:p w14:paraId="66C2A021"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Hospital La Misericordia</w:t>
            </w:r>
          </w:p>
        </w:tc>
        <w:tc>
          <w:tcPr>
            <w:tcW w:w="0" w:type="auto"/>
            <w:hideMark/>
          </w:tcPr>
          <w:p w14:paraId="5385F4D1"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16</w:t>
            </w:r>
          </w:p>
        </w:tc>
        <w:tc>
          <w:tcPr>
            <w:tcW w:w="0" w:type="auto"/>
            <w:hideMark/>
          </w:tcPr>
          <w:p w14:paraId="550DE62B"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8,0%</w:t>
            </w:r>
          </w:p>
        </w:tc>
      </w:tr>
      <w:tr w:rsidR="00F600C2" w:rsidRPr="00F600C2" w14:paraId="4A64425B" w14:textId="77777777" w:rsidTr="00F600C2">
        <w:trPr>
          <w:jc w:val="center"/>
        </w:trPr>
        <w:tc>
          <w:tcPr>
            <w:tcW w:w="0" w:type="auto"/>
            <w:hideMark/>
          </w:tcPr>
          <w:p w14:paraId="738A0F12"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SUR OCCIDENTE - USS Tintal</w:t>
            </w:r>
          </w:p>
        </w:tc>
        <w:tc>
          <w:tcPr>
            <w:tcW w:w="0" w:type="auto"/>
            <w:hideMark/>
          </w:tcPr>
          <w:p w14:paraId="1271170F"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13</w:t>
            </w:r>
          </w:p>
        </w:tc>
        <w:tc>
          <w:tcPr>
            <w:tcW w:w="0" w:type="auto"/>
            <w:hideMark/>
          </w:tcPr>
          <w:p w14:paraId="178E551F"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6,5%</w:t>
            </w:r>
          </w:p>
        </w:tc>
      </w:tr>
      <w:tr w:rsidR="00F600C2" w:rsidRPr="00F600C2" w14:paraId="77C3536C" w14:textId="77777777" w:rsidTr="00F600C2">
        <w:trPr>
          <w:jc w:val="center"/>
        </w:trPr>
        <w:tc>
          <w:tcPr>
            <w:tcW w:w="0" w:type="auto"/>
            <w:hideMark/>
          </w:tcPr>
          <w:p w14:paraId="03526A77"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NORTE - USS Suba</w:t>
            </w:r>
          </w:p>
        </w:tc>
        <w:tc>
          <w:tcPr>
            <w:tcW w:w="0" w:type="auto"/>
            <w:hideMark/>
          </w:tcPr>
          <w:p w14:paraId="0BCAFCB3"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9</w:t>
            </w:r>
          </w:p>
        </w:tc>
        <w:tc>
          <w:tcPr>
            <w:tcW w:w="0" w:type="auto"/>
            <w:hideMark/>
          </w:tcPr>
          <w:p w14:paraId="054D0B9E"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4,5%</w:t>
            </w:r>
          </w:p>
        </w:tc>
      </w:tr>
      <w:tr w:rsidR="00F600C2" w:rsidRPr="00F600C2" w14:paraId="3D5829AD" w14:textId="77777777" w:rsidTr="00F600C2">
        <w:trPr>
          <w:jc w:val="center"/>
        </w:trPr>
        <w:tc>
          <w:tcPr>
            <w:tcW w:w="0" w:type="auto"/>
            <w:hideMark/>
          </w:tcPr>
          <w:p w14:paraId="1B645F89"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SUR - USS El Tunal</w:t>
            </w:r>
          </w:p>
        </w:tc>
        <w:tc>
          <w:tcPr>
            <w:tcW w:w="0" w:type="auto"/>
            <w:hideMark/>
          </w:tcPr>
          <w:p w14:paraId="74B1BCBE"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7</w:t>
            </w:r>
          </w:p>
        </w:tc>
        <w:tc>
          <w:tcPr>
            <w:tcW w:w="0" w:type="auto"/>
            <w:hideMark/>
          </w:tcPr>
          <w:p w14:paraId="61A2CB25"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3,5%</w:t>
            </w:r>
          </w:p>
        </w:tc>
      </w:tr>
      <w:tr w:rsidR="00F600C2" w:rsidRPr="00F600C2" w14:paraId="762257EA" w14:textId="77777777" w:rsidTr="00F600C2">
        <w:trPr>
          <w:jc w:val="center"/>
        </w:trPr>
        <w:tc>
          <w:tcPr>
            <w:tcW w:w="0" w:type="auto"/>
            <w:hideMark/>
          </w:tcPr>
          <w:p w14:paraId="7A43A683"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Fundación Santa Fe de Bogotá</w:t>
            </w:r>
          </w:p>
        </w:tc>
        <w:tc>
          <w:tcPr>
            <w:tcW w:w="0" w:type="auto"/>
            <w:hideMark/>
          </w:tcPr>
          <w:p w14:paraId="1057F989"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w:t>
            </w:r>
          </w:p>
        </w:tc>
        <w:tc>
          <w:tcPr>
            <w:tcW w:w="0" w:type="auto"/>
            <w:hideMark/>
          </w:tcPr>
          <w:p w14:paraId="1A0CBFAF"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2,0%</w:t>
            </w:r>
          </w:p>
        </w:tc>
      </w:tr>
      <w:tr w:rsidR="00F600C2" w:rsidRPr="00F600C2" w14:paraId="46EBA3F2" w14:textId="77777777" w:rsidTr="00F600C2">
        <w:trPr>
          <w:jc w:val="center"/>
        </w:trPr>
        <w:tc>
          <w:tcPr>
            <w:tcW w:w="0" w:type="auto"/>
            <w:hideMark/>
          </w:tcPr>
          <w:p w14:paraId="1E93A6D1"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CENTRO ORIENTE - USS Santa Clara</w:t>
            </w:r>
          </w:p>
        </w:tc>
        <w:tc>
          <w:tcPr>
            <w:tcW w:w="0" w:type="auto"/>
            <w:hideMark/>
          </w:tcPr>
          <w:p w14:paraId="21736EAD"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w:t>
            </w:r>
          </w:p>
        </w:tc>
        <w:tc>
          <w:tcPr>
            <w:tcW w:w="0" w:type="auto"/>
            <w:hideMark/>
          </w:tcPr>
          <w:p w14:paraId="6469B903"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2,0%</w:t>
            </w:r>
          </w:p>
        </w:tc>
      </w:tr>
      <w:tr w:rsidR="00F600C2" w:rsidRPr="00F600C2" w14:paraId="0DDE1588" w14:textId="77777777" w:rsidTr="00F600C2">
        <w:trPr>
          <w:jc w:val="center"/>
        </w:trPr>
        <w:tc>
          <w:tcPr>
            <w:tcW w:w="0" w:type="auto"/>
            <w:hideMark/>
          </w:tcPr>
          <w:p w14:paraId="58FD5E6B"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SISS NORTE - USS Engativá</w:t>
            </w:r>
          </w:p>
        </w:tc>
        <w:tc>
          <w:tcPr>
            <w:tcW w:w="0" w:type="auto"/>
            <w:hideMark/>
          </w:tcPr>
          <w:p w14:paraId="0B1C111B"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w:t>
            </w:r>
          </w:p>
        </w:tc>
        <w:tc>
          <w:tcPr>
            <w:tcW w:w="0" w:type="auto"/>
            <w:hideMark/>
          </w:tcPr>
          <w:p w14:paraId="4EC8F14E"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2,0%</w:t>
            </w:r>
          </w:p>
        </w:tc>
      </w:tr>
      <w:tr w:rsidR="00F600C2" w:rsidRPr="00F600C2" w14:paraId="7045D351" w14:textId="77777777" w:rsidTr="00F600C2">
        <w:trPr>
          <w:jc w:val="center"/>
        </w:trPr>
        <w:tc>
          <w:tcPr>
            <w:tcW w:w="0" w:type="auto"/>
            <w:hideMark/>
          </w:tcPr>
          <w:p w14:paraId="1BECADDE"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sz w:val="22"/>
                <w:szCs w:val="22"/>
              </w:rPr>
              <w:t>OTROS</w:t>
            </w:r>
          </w:p>
        </w:tc>
        <w:tc>
          <w:tcPr>
            <w:tcW w:w="0" w:type="auto"/>
            <w:hideMark/>
          </w:tcPr>
          <w:p w14:paraId="61D6DE9C"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48</w:t>
            </w:r>
          </w:p>
        </w:tc>
        <w:tc>
          <w:tcPr>
            <w:tcW w:w="0" w:type="auto"/>
            <w:hideMark/>
          </w:tcPr>
          <w:p w14:paraId="0B26F306"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sz w:val="22"/>
                <w:szCs w:val="22"/>
              </w:rPr>
              <w:t>24,1%</w:t>
            </w:r>
          </w:p>
        </w:tc>
      </w:tr>
      <w:tr w:rsidR="00F600C2" w:rsidRPr="00F600C2" w14:paraId="73EE902C" w14:textId="77777777" w:rsidTr="00F600C2">
        <w:trPr>
          <w:jc w:val="center"/>
        </w:trPr>
        <w:tc>
          <w:tcPr>
            <w:tcW w:w="0" w:type="auto"/>
            <w:hideMark/>
          </w:tcPr>
          <w:p w14:paraId="41C8B5B9" w14:textId="77777777" w:rsidR="00F600C2" w:rsidRPr="00F600C2" w:rsidRDefault="00F600C2" w:rsidP="00F600C2">
            <w:pPr>
              <w:spacing w:line="360" w:lineRule="auto"/>
              <w:jc w:val="both"/>
              <w:rPr>
                <w:rFonts w:ascii="Arial" w:hAnsi="Arial" w:cs="Arial"/>
                <w:sz w:val="22"/>
                <w:szCs w:val="22"/>
              </w:rPr>
            </w:pPr>
            <w:r w:rsidRPr="00F600C2">
              <w:rPr>
                <w:rFonts w:ascii="Arial" w:hAnsi="Arial" w:cs="Arial"/>
                <w:b/>
                <w:bCs/>
                <w:sz w:val="22"/>
                <w:szCs w:val="22"/>
              </w:rPr>
              <w:t>Total</w:t>
            </w:r>
          </w:p>
        </w:tc>
        <w:tc>
          <w:tcPr>
            <w:tcW w:w="0" w:type="auto"/>
            <w:hideMark/>
          </w:tcPr>
          <w:p w14:paraId="4BF0583E"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b/>
                <w:bCs/>
                <w:sz w:val="22"/>
                <w:szCs w:val="22"/>
              </w:rPr>
              <w:t>199</w:t>
            </w:r>
          </w:p>
        </w:tc>
        <w:tc>
          <w:tcPr>
            <w:tcW w:w="0" w:type="auto"/>
            <w:hideMark/>
          </w:tcPr>
          <w:p w14:paraId="5E761ACA" w14:textId="77777777" w:rsidR="00F600C2" w:rsidRPr="00F600C2" w:rsidRDefault="00F600C2" w:rsidP="00F600C2">
            <w:pPr>
              <w:spacing w:line="360" w:lineRule="auto"/>
              <w:jc w:val="center"/>
              <w:rPr>
                <w:rFonts w:ascii="Arial" w:hAnsi="Arial" w:cs="Arial"/>
                <w:sz w:val="22"/>
                <w:szCs w:val="22"/>
              </w:rPr>
            </w:pPr>
            <w:r w:rsidRPr="00F600C2">
              <w:rPr>
                <w:rFonts w:ascii="Arial" w:hAnsi="Arial" w:cs="Arial"/>
                <w:b/>
                <w:bCs/>
                <w:sz w:val="22"/>
                <w:szCs w:val="22"/>
              </w:rPr>
              <w:t>100,0%</w:t>
            </w:r>
          </w:p>
        </w:tc>
      </w:tr>
    </w:tbl>
    <w:p w14:paraId="6F83244E" w14:textId="402AA45D" w:rsidR="000E5255" w:rsidRPr="001A7B43" w:rsidRDefault="00972E1E" w:rsidP="006068A2">
      <w:pPr>
        <w:spacing w:line="360" w:lineRule="auto"/>
        <w:jc w:val="both"/>
        <w:rPr>
          <w:rFonts w:ascii="Arial" w:hAnsi="Arial" w:cs="Arial"/>
          <w:sz w:val="16"/>
          <w:szCs w:val="16"/>
          <w:lang w:val="es-ES"/>
        </w:rPr>
      </w:pPr>
      <w:r w:rsidRPr="001A7B43">
        <w:rPr>
          <w:rFonts w:ascii="Arial" w:hAnsi="Arial" w:cs="Arial"/>
          <w:sz w:val="16"/>
          <w:szCs w:val="16"/>
          <w:lang w:val="es-ES"/>
        </w:rPr>
        <w:lastRenderedPageBreak/>
        <w:t>Fuente</w:t>
      </w:r>
      <w:r w:rsidR="000E5255" w:rsidRPr="001A7B43">
        <w:rPr>
          <w:rFonts w:ascii="Arial" w:hAnsi="Arial" w:cs="Arial"/>
          <w:sz w:val="16"/>
          <w:szCs w:val="16"/>
          <w:lang w:val="es-ES"/>
        </w:rPr>
        <w:t xml:space="preserve">: Reporte de Google Forms del </w:t>
      </w:r>
      <w:r w:rsidR="00F1648A" w:rsidRPr="001A7B43">
        <w:rPr>
          <w:rFonts w:ascii="Arial" w:hAnsi="Arial" w:cs="Arial"/>
          <w:sz w:val="16"/>
          <w:szCs w:val="16"/>
          <w:lang w:val="es-ES"/>
        </w:rPr>
        <w:t>Número</w:t>
      </w:r>
      <w:r w:rsidR="000E5255" w:rsidRPr="001A7B43">
        <w:rPr>
          <w:rFonts w:ascii="Arial" w:hAnsi="Arial" w:cs="Arial"/>
          <w:sz w:val="16"/>
          <w:szCs w:val="16"/>
          <w:lang w:val="es-ES"/>
        </w:rPr>
        <w:t xml:space="preserve"> de casos especiales detectados por GAMA (27/05/2025 - 31/01/2026)</w:t>
      </w:r>
    </w:p>
    <w:p w14:paraId="0E72939D" w14:textId="77777777" w:rsidR="000E5255" w:rsidRPr="006068A2" w:rsidRDefault="000E5255" w:rsidP="006068A2">
      <w:pPr>
        <w:spacing w:line="360" w:lineRule="auto"/>
        <w:jc w:val="both"/>
        <w:rPr>
          <w:rFonts w:ascii="Arial" w:hAnsi="Arial" w:cs="Arial"/>
          <w:sz w:val="22"/>
          <w:szCs w:val="22"/>
          <w:lang w:val="es-ES"/>
        </w:rPr>
      </w:pPr>
    </w:p>
    <w:p w14:paraId="1D976C32" w14:textId="77777777" w:rsidR="00B77C1D" w:rsidRPr="00C625FC" w:rsidRDefault="00B77C1D" w:rsidP="00B77C1D">
      <w:pPr>
        <w:spacing w:line="360" w:lineRule="auto"/>
        <w:jc w:val="both"/>
        <w:rPr>
          <w:rFonts w:ascii="Arial" w:hAnsi="Arial" w:cs="Arial"/>
          <w:sz w:val="22"/>
          <w:szCs w:val="22"/>
        </w:rPr>
      </w:pPr>
      <w:r w:rsidRPr="00B77C1D">
        <w:rPr>
          <w:rFonts w:ascii="Arial" w:hAnsi="Arial" w:cs="Arial"/>
          <w:sz w:val="22"/>
          <w:szCs w:val="22"/>
        </w:rPr>
        <w:t>La distribución de los casos dentro de la red muestra una concentración importante en algunas instituciones, especialmente en USS Simón Bolívar (23,1%), USS Meissen (14,1%) y USS Kennedy (10,1%), que en conjunto representan una proporción significativa de los eventos asociados a COOSALUD EPS. Este comportamiento sugiere presiones operativas en puntos específicos de la red, particularmente en instituciones de mediana y alta complejidad, lo que hace necesario fortalecer el monitoreo sobre capacidad resolutiva, tiempos de gestión de remisiones, disponibilidad efectiva de servicios y articulación entre asegurador y prestadores.</w:t>
      </w:r>
    </w:p>
    <w:p w14:paraId="32AB9BC2" w14:textId="77777777" w:rsidR="00B77C1D" w:rsidRPr="00B77C1D" w:rsidRDefault="00B77C1D" w:rsidP="00B77C1D">
      <w:pPr>
        <w:spacing w:line="360" w:lineRule="auto"/>
        <w:jc w:val="both"/>
        <w:rPr>
          <w:rFonts w:ascii="Arial" w:hAnsi="Arial" w:cs="Arial"/>
          <w:sz w:val="22"/>
          <w:szCs w:val="22"/>
        </w:rPr>
      </w:pPr>
    </w:p>
    <w:p w14:paraId="551E8491" w14:textId="77777777" w:rsidR="00B77C1D" w:rsidRPr="00B77C1D" w:rsidRDefault="00B77C1D" w:rsidP="00B77C1D">
      <w:pPr>
        <w:spacing w:line="360" w:lineRule="auto"/>
        <w:jc w:val="both"/>
        <w:rPr>
          <w:rFonts w:ascii="Arial" w:hAnsi="Arial" w:cs="Arial"/>
          <w:sz w:val="22"/>
          <w:szCs w:val="22"/>
        </w:rPr>
      </w:pPr>
      <w:r w:rsidRPr="00B77C1D">
        <w:rPr>
          <w:rFonts w:ascii="Arial" w:hAnsi="Arial" w:cs="Arial"/>
          <w:sz w:val="22"/>
          <w:szCs w:val="22"/>
        </w:rPr>
        <w:t>Adicionalmente, el análisis de la categoría agrupada en “otros” permite identificar un subconjunto de casos en IPS no reconocidas en el cruce con la red prestadora reportada por COOSALUD EPS, así como casos que no contaban con desagregación institucional específica en la información suministrada. Este componente resulta relevante porque puede reflejar atenciones fuera de red, inconsistencias en las bases reportadas por la EPS o limitaciones en la calidad y actualización de la información contractual remitida para el ejercicio de seguimiento.</w:t>
      </w:r>
    </w:p>
    <w:p w14:paraId="58C9FC55" w14:textId="77777777" w:rsidR="00454811" w:rsidRPr="00B77C1D" w:rsidRDefault="00454811" w:rsidP="006068A2">
      <w:pPr>
        <w:spacing w:line="360" w:lineRule="auto"/>
        <w:jc w:val="both"/>
        <w:rPr>
          <w:rFonts w:ascii="Arial" w:hAnsi="Arial" w:cs="Arial"/>
          <w:sz w:val="22"/>
          <w:szCs w:val="22"/>
        </w:rPr>
      </w:pPr>
    </w:p>
    <w:p w14:paraId="73E62A4F" w14:textId="19F51F3F" w:rsidR="000E5255" w:rsidRDefault="00D4296F" w:rsidP="006068A2">
      <w:pPr>
        <w:pStyle w:val="Descripcin"/>
        <w:spacing w:after="0" w:line="360" w:lineRule="auto"/>
        <w:jc w:val="both"/>
        <w:rPr>
          <w:rFonts w:ascii="Arial" w:hAnsi="Arial" w:cs="Arial"/>
          <w:bCs/>
          <w:i w:val="0"/>
          <w:iCs w:val="0"/>
          <w:color w:val="000000" w:themeColor="text1"/>
          <w:sz w:val="22"/>
          <w:szCs w:val="22"/>
          <w:lang w:val="es-MX"/>
        </w:rPr>
      </w:pPr>
      <w:bookmarkStart w:id="59" w:name="_Toc229395875"/>
      <w:r w:rsidRPr="006068A2">
        <w:rPr>
          <w:rFonts w:ascii="Arial" w:hAnsi="Arial" w:cs="Arial"/>
          <w:bCs/>
          <w:i w:val="0"/>
          <w:iCs w:val="0"/>
          <w:color w:val="000000" w:themeColor="text1"/>
          <w:sz w:val="22"/>
          <w:szCs w:val="22"/>
          <w:lang w:val="es-MX"/>
        </w:rPr>
        <w:t xml:space="preserve">Tabla </w:t>
      </w:r>
      <w:r w:rsidRPr="006068A2">
        <w:rPr>
          <w:rFonts w:ascii="Arial" w:hAnsi="Arial" w:cs="Arial"/>
          <w:bCs/>
          <w:i w:val="0"/>
          <w:iCs w:val="0"/>
          <w:color w:val="000000" w:themeColor="text1"/>
          <w:sz w:val="22"/>
          <w:szCs w:val="22"/>
          <w:lang w:val="es-MX"/>
        </w:rPr>
        <w:fldChar w:fldCharType="begin"/>
      </w:r>
      <w:r w:rsidRPr="006068A2">
        <w:rPr>
          <w:rFonts w:ascii="Arial" w:hAnsi="Arial" w:cs="Arial"/>
          <w:bCs/>
          <w:i w:val="0"/>
          <w:iCs w:val="0"/>
          <w:color w:val="000000" w:themeColor="text1"/>
          <w:sz w:val="22"/>
          <w:szCs w:val="22"/>
          <w:lang w:val="es-MX"/>
        </w:rPr>
        <w:instrText xml:space="preserve"> SEQ Tabla \* ARABIC </w:instrText>
      </w:r>
      <w:r w:rsidRPr="006068A2">
        <w:rPr>
          <w:rFonts w:ascii="Arial" w:hAnsi="Arial" w:cs="Arial"/>
          <w:bCs/>
          <w:i w:val="0"/>
          <w:iCs w:val="0"/>
          <w:color w:val="000000" w:themeColor="text1"/>
          <w:sz w:val="22"/>
          <w:szCs w:val="22"/>
          <w:lang w:val="es-MX"/>
        </w:rPr>
        <w:fldChar w:fldCharType="separate"/>
      </w:r>
      <w:r w:rsidR="00CB6C8D">
        <w:rPr>
          <w:rFonts w:ascii="Arial" w:hAnsi="Arial" w:cs="Arial"/>
          <w:bCs/>
          <w:i w:val="0"/>
          <w:iCs w:val="0"/>
          <w:noProof/>
          <w:color w:val="000000" w:themeColor="text1"/>
          <w:sz w:val="22"/>
          <w:szCs w:val="22"/>
          <w:lang w:val="es-MX"/>
        </w:rPr>
        <w:t>18</w:t>
      </w:r>
      <w:r w:rsidRPr="006068A2">
        <w:rPr>
          <w:rFonts w:ascii="Arial" w:hAnsi="Arial" w:cs="Arial"/>
          <w:bCs/>
          <w:i w:val="0"/>
          <w:iCs w:val="0"/>
          <w:color w:val="000000" w:themeColor="text1"/>
          <w:sz w:val="22"/>
          <w:szCs w:val="22"/>
          <w:lang w:val="es-MX"/>
        </w:rPr>
        <w:fldChar w:fldCharType="end"/>
      </w:r>
      <w:r w:rsidRPr="006068A2">
        <w:rPr>
          <w:rFonts w:ascii="Arial" w:hAnsi="Arial" w:cs="Arial"/>
          <w:bCs/>
          <w:i w:val="0"/>
          <w:iCs w:val="0"/>
          <w:color w:val="000000" w:themeColor="text1"/>
          <w:sz w:val="22"/>
          <w:szCs w:val="22"/>
          <w:lang w:val="es-MX"/>
        </w:rPr>
        <w:t xml:space="preserve">. </w:t>
      </w:r>
      <w:r w:rsidR="002A6FFD" w:rsidRPr="002A6FFD">
        <w:rPr>
          <w:rFonts w:ascii="Arial" w:hAnsi="Arial" w:cs="Arial"/>
          <w:bCs/>
          <w:i w:val="0"/>
          <w:iCs w:val="0"/>
          <w:color w:val="000000" w:themeColor="text1"/>
          <w:sz w:val="22"/>
          <w:szCs w:val="22"/>
          <w:lang w:val="es-MX"/>
        </w:rPr>
        <w:t>Detalle de casos no identificados en el cruce con la red prestadora reportada por COOSALUD EPS</w:t>
      </w:r>
      <w:r w:rsidR="00583A33">
        <w:rPr>
          <w:rStyle w:val="Refdenotaalpie"/>
          <w:rFonts w:ascii="Arial" w:hAnsi="Arial" w:cs="Arial"/>
          <w:bCs/>
          <w:i w:val="0"/>
          <w:iCs w:val="0"/>
          <w:color w:val="000000" w:themeColor="text1"/>
          <w:sz w:val="22"/>
          <w:szCs w:val="22"/>
          <w:lang w:val="es-MX"/>
        </w:rPr>
        <w:footnoteReference w:id="10"/>
      </w:r>
      <w:r w:rsidR="002A6FFD">
        <w:rPr>
          <w:rFonts w:ascii="Arial" w:hAnsi="Arial" w:cs="Arial"/>
          <w:bCs/>
          <w:i w:val="0"/>
          <w:iCs w:val="0"/>
          <w:color w:val="000000" w:themeColor="text1"/>
          <w:sz w:val="22"/>
          <w:szCs w:val="22"/>
          <w:lang w:val="es-MX"/>
        </w:rPr>
        <w:t>.</w:t>
      </w:r>
      <w:bookmarkEnd w:id="59"/>
    </w:p>
    <w:p w14:paraId="045CC1E6" w14:textId="77777777" w:rsidR="002A6FFD" w:rsidRPr="002A6FFD" w:rsidRDefault="002A6FFD" w:rsidP="002A6FFD">
      <w:pPr>
        <w:rPr>
          <w:lang w:val="es-MX"/>
        </w:rPr>
      </w:pPr>
    </w:p>
    <w:tbl>
      <w:tblPr>
        <w:tblStyle w:val="Tablaconcuadrcula"/>
        <w:tblW w:w="0" w:type="auto"/>
        <w:jc w:val="center"/>
        <w:tblLook w:val="04A0" w:firstRow="1" w:lastRow="0" w:firstColumn="1" w:lastColumn="0" w:noHBand="0" w:noVBand="1"/>
      </w:tblPr>
      <w:tblGrid>
        <w:gridCol w:w="5622"/>
        <w:gridCol w:w="1630"/>
        <w:gridCol w:w="1341"/>
      </w:tblGrid>
      <w:tr w:rsidR="00F0642F" w:rsidRPr="00F0642F" w14:paraId="74A2A580" w14:textId="77777777" w:rsidTr="0061067F">
        <w:trPr>
          <w:jc w:val="center"/>
        </w:trPr>
        <w:tc>
          <w:tcPr>
            <w:tcW w:w="0" w:type="auto"/>
            <w:hideMark/>
          </w:tcPr>
          <w:p w14:paraId="6B2ED92C" w14:textId="77777777" w:rsidR="00F0642F" w:rsidRPr="00F0642F" w:rsidRDefault="00F0642F" w:rsidP="00583A33">
            <w:pPr>
              <w:spacing w:line="360" w:lineRule="auto"/>
              <w:jc w:val="center"/>
              <w:rPr>
                <w:rFonts w:ascii="Arial" w:hAnsi="Arial" w:cs="Arial"/>
                <w:b/>
                <w:bCs/>
                <w:sz w:val="22"/>
                <w:szCs w:val="22"/>
              </w:rPr>
            </w:pPr>
            <w:r w:rsidRPr="00F0642F">
              <w:rPr>
                <w:rFonts w:ascii="Arial" w:hAnsi="Arial" w:cs="Arial"/>
                <w:b/>
                <w:bCs/>
                <w:sz w:val="22"/>
                <w:szCs w:val="22"/>
              </w:rPr>
              <w:t>IPS</w:t>
            </w:r>
          </w:p>
        </w:tc>
        <w:tc>
          <w:tcPr>
            <w:tcW w:w="0" w:type="auto"/>
            <w:hideMark/>
          </w:tcPr>
          <w:p w14:paraId="7F4E6398" w14:textId="33D12F67" w:rsidR="00F0642F" w:rsidRPr="00F0642F" w:rsidRDefault="00E6192C" w:rsidP="00583A33">
            <w:pPr>
              <w:spacing w:line="360" w:lineRule="auto"/>
              <w:jc w:val="center"/>
              <w:rPr>
                <w:rFonts w:ascii="Arial" w:hAnsi="Arial" w:cs="Arial"/>
                <w:b/>
                <w:bCs/>
                <w:sz w:val="22"/>
                <w:szCs w:val="22"/>
              </w:rPr>
            </w:pPr>
            <w:r w:rsidRPr="00F0642F">
              <w:rPr>
                <w:rFonts w:ascii="Arial" w:hAnsi="Arial" w:cs="Arial"/>
                <w:b/>
                <w:bCs/>
                <w:sz w:val="22"/>
                <w:szCs w:val="22"/>
              </w:rPr>
              <w:t>Total,</w:t>
            </w:r>
            <w:r w:rsidR="00F0642F" w:rsidRPr="00F0642F">
              <w:rPr>
                <w:rFonts w:ascii="Arial" w:hAnsi="Arial" w:cs="Arial"/>
                <w:b/>
                <w:bCs/>
                <w:sz w:val="22"/>
                <w:szCs w:val="22"/>
              </w:rPr>
              <w:t xml:space="preserve"> general</w:t>
            </w:r>
          </w:p>
        </w:tc>
        <w:tc>
          <w:tcPr>
            <w:tcW w:w="0" w:type="auto"/>
            <w:hideMark/>
          </w:tcPr>
          <w:p w14:paraId="7D4FACBC" w14:textId="77777777" w:rsidR="00F0642F" w:rsidRPr="00F0642F" w:rsidRDefault="00F0642F" w:rsidP="00583A33">
            <w:pPr>
              <w:spacing w:line="360" w:lineRule="auto"/>
              <w:jc w:val="center"/>
              <w:rPr>
                <w:rFonts w:ascii="Arial" w:hAnsi="Arial" w:cs="Arial"/>
                <w:b/>
                <w:bCs/>
                <w:sz w:val="22"/>
                <w:szCs w:val="22"/>
              </w:rPr>
            </w:pPr>
            <w:r w:rsidRPr="00F0642F">
              <w:rPr>
                <w:rFonts w:ascii="Arial" w:hAnsi="Arial" w:cs="Arial"/>
                <w:b/>
                <w:bCs/>
                <w:sz w:val="22"/>
                <w:szCs w:val="22"/>
              </w:rPr>
              <w:t>Porcentaje</w:t>
            </w:r>
          </w:p>
        </w:tc>
      </w:tr>
      <w:tr w:rsidR="00F0642F" w:rsidRPr="00F0642F" w14:paraId="035C72AF" w14:textId="77777777" w:rsidTr="0061067F">
        <w:trPr>
          <w:jc w:val="center"/>
        </w:trPr>
        <w:tc>
          <w:tcPr>
            <w:tcW w:w="0" w:type="auto"/>
            <w:hideMark/>
          </w:tcPr>
          <w:p w14:paraId="1EB40D6C" w14:textId="77777777" w:rsidR="00F0642F" w:rsidRPr="00F0642F" w:rsidRDefault="00F0642F" w:rsidP="00F0642F">
            <w:pPr>
              <w:spacing w:line="360" w:lineRule="auto"/>
              <w:jc w:val="both"/>
              <w:rPr>
                <w:rFonts w:ascii="Arial" w:hAnsi="Arial" w:cs="Arial"/>
                <w:sz w:val="22"/>
                <w:szCs w:val="22"/>
              </w:rPr>
            </w:pPr>
            <w:r w:rsidRPr="00F0642F">
              <w:rPr>
                <w:rFonts w:ascii="Arial" w:hAnsi="Arial" w:cs="Arial"/>
                <w:sz w:val="22"/>
                <w:szCs w:val="22"/>
              </w:rPr>
              <w:t>Fundación Cardio Infantil</w:t>
            </w:r>
          </w:p>
        </w:tc>
        <w:tc>
          <w:tcPr>
            <w:tcW w:w="0" w:type="auto"/>
            <w:hideMark/>
          </w:tcPr>
          <w:p w14:paraId="7C73ADB1"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16</w:t>
            </w:r>
          </w:p>
        </w:tc>
        <w:tc>
          <w:tcPr>
            <w:tcW w:w="0" w:type="auto"/>
            <w:hideMark/>
          </w:tcPr>
          <w:p w14:paraId="7CDB47BF"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8,0%</w:t>
            </w:r>
          </w:p>
        </w:tc>
      </w:tr>
      <w:tr w:rsidR="00F0642F" w:rsidRPr="00F0642F" w14:paraId="23314108" w14:textId="77777777" w:rsidTr="0061067F">
        <w:trPr>
          <w:jc w:val="center"/>
        </w:trPr>
        <w:tc>
          <w:tcPr>
            <w:tcW w:w="0" w:type="auto"/>
            <w:hideMark/>
          </w:tcPr>
          <w:p w14:paraId="0CA866A3" w14:textId="77777777" w:rsidR="00F0642F" w:rsidRPr="00F0642F" w:rsidRDefault="00F0642F" w:rsidP="00F0642F">
            <w:pPr>
              <w:spacing w:line="360" w:lineRule="auto"/>
              <w:jc w:val="both"/>
              <w:rPr>
                <w:rFonts w:ascii="Arial" w:hAnsi="Arial" w:cs="Arial"/>
                <w:sz w:val="22"/>
                <w:szCs w:val="22"/>
              </w:rPr>
            </w:pPr>
            <w:r w:rsidRPr="00F0642F">
              <w:rPr>
                <w:rFonts w:ascii="Arial" w:hAnsi="Arial" w:cs="Arial"/>
                <w:sz w:val="22"/>
                <w:szCs w:val="22"/>
              </w:rPr>
              <w:t>Instituto Nacional de Cancerología</w:t>
            </w:r>
          </w:p>
        </w:tc>
        <w:tc>
          <w:tcPr>
            <w:tcW w:w="0" w:type="auto"/>
            <w:hideMark/>
          </w:tcPr>
          <w:p w14:paraId="3376447F"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5</w:t>
            </w:r>
          </w:p>
        </w:tc>
        <w:tc>
          <w:tcPr>
            <w:tcW w:w="0" w:type="auto"/>
            <w:hideMark/>
          </w:tcPr>
          <w:p w14:paraId="5B2E8856"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2,5%</w:t>
            </w:r>
          </w:p>
        </w:tc>
      </w:tr>
      <w:tr w:rsidR="00F0642F" w:rsidRPr="00F0642F" w14:paraId="6ED8D47A" w14:textId="77777777" w:rsidTr="0061067F">
        <w:trPr>
          <w:jc w:val="center"/>
        </w:trPr>
        <w:tc>
          <w:tcPr>
            <w:tcW w:w="0" w:type="auto"/>
            <w:hideMark/>
          </w:tcPr>
          <w:p w14:paraId="33989810" w14:textId="77777777" w:rsidR="00F0642F" w:rsidRPr="00F0642F" w:rsidRDefault="00F0642F" w:rsidP="00F0642F">
            <w:pPr>
              <w:spacing w:line="360" w:lineRule="auto"/>
              <w:jc w:val="both"/>
              <w:rPr>
                <w:rFonts w:ascii="Arial" w:hAnsi="Arial" w:cs="Arial"/>
                <w:sz w:val="22"/>
                <w:szCs w:val="22"/>
              </w:rPr>
            </w:pPr>
            <w:r w:rsidRPr="00F0642F">
              <w:rPr>
                <w:rFonts w:ascii="Arial" w:hAnsi="Arial" w:cs="Arial"/>
                <w:sz w:val="22"/>
                <w:szCs w:val="22"/>
              </w:rPr>
              <w:t>Hospital Universitario San Ignacio</w:t>
            </w:r>
          </w:p>
        </w:tc>
        <w:tc>
          <w:tcPr>
            <w:tcW w:w="0" w:type="auto"/>
            <w:hideMark/>
          </w:tcPr>
          <w:p w14:paraId="000E7495"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4</w:t>
            </w:r>
          </w:p>
        </w:tc>
        <w:tc>
          <w:tcPr>
            <w:tcW w:w="0" w:type="auto"/>
            <w:hideMark/>
          </w:tcPr>
          <w:p w14:paraId="459B38A4"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2,0%</w:t>
            </w:r>
          </w:p>
        </w:tc>
      </w:tr>
      <w:tr w:rsidR="00F0642F" w:rsidRPr="00F0642F" w14:paraId="3C6C1004" w14:textId="77777777" w:rsidTr="0061067F">
        <w:trPr>
          <w:jc w:val="center"/>
        </w:trPr>
        <w:tc>
          <w:tcPr>
            <w:tcW w:w="0" w:type="auto"/>
            <w:hideMark/>
          </w:tcPr>
          <w:p w14:paraId="0F5C3F30" w14:textId="30395241" w:rsidR="00F0642F" w:rsidRPr="00F0642F" w:rsidRDefault="007744C2" w:rsidP="00F0642F">
            <w:pPr>
              <w:spacing w:line="360" w:lineRule="auto"/>
              <w:jc w:val="both"/>
              <w:rPr>
                <w:rFonts w:ascii="Arial" w:hAnsi="Arial" w:cs="Arial"/>
                <w:sz w:val="22"/>
                <w:szCs w:val="22"/>
              </w:rPr>
            </w:pPr>
            <w:r w:rsidRPr="00F0642F">
              <w:rPr>
                <w:rFonts w:ascii="Arial" w:hAnsi="Arial" w:cs="Arial"/>
                <w:sz w:val="22"/>
                <w:szCs w:val="22"/>
              </w:rPr>
              <w:t xml:space="preserve">Otros </w:t>
            </w:r>
            <w:r w:rsidR="00F0642F" w:rsidRPr="00F0642F">
              <w:rPr>
                <w:rFonts w:ascii="Arial" w:hAnsi="Arial" w:cs="Arial"/>
                <w:sz w:val="22"/>
                <w:szCs w:val="22"/>
              </w:rPr>
              <w:t>/ casos sin desagregación institucional específica</w:t>
            </w:r>
          </w:p>
        </w:tc>
        <w:tc>
          <w:tcPr>
            <w:tcW w:w="0" w:type="auto"/>
            <w:hideMark/>
          </w:tcPr>
          <w:p w14:paraId="60F0D972"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23</w:t>
            </w:r>
          </w:p>
        </w:tc>
        <w:tc>
          <w:tcPr>
            <w:tcW w:w="0" w:type="auto"/>
            <w:hideMark/>
          </w:tcPr>
          <w:p w14:paraId="12D2CF6C"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sz w:val="22"/>
                <w:szCs w:val="22"/>
              </w:rPr>
              <w:t>11,6%</w:t>
            </w:r>
          </w:p>
        </w:tc>
      </w:tr>
      <w:tr w:rsidR="00F0642F" w:rsidRPr="00F0642F" w14:paraId="1B4E523E" w14:textId="77777777" w:rsidTr="0061067F">
        <w:trPr>
          <w:jc w:val="center"/>
        </w:trPr>
        <w:tc>
          <w:tcPr>
            <w:tcW w:w="0" w:type="auto"/>
            <w:hideMark/>
          </w:tcPr>
          <w:p w14:paraId="18AF429F" w14:textId="77777777" w:rsidR="00F0642F" w:rsidRPr="00F0642F" w:rsidRDefault="00F0642F" w:rsidP="00F0642F">
            <w:pPr>
              <w:spacing w:line="360" w:lineRule="auto"/>
              <w:jc w:val="both"/>
              <w:rPr>
                <w:rFonts w:ascii="Arial" w:hAnsi="Arial" w:cs="Arial"/>
                <w:sz w:val="22"/>
                <w:szCs w:val="22"/>
              </w:rPr>
            </w:pPr>
            <w:r w:rsidRPr="00F0642F">
              <w:rPr>
                <w:rFonts w:ascii="Arial" w:hAnsi="Arial" w:cs="Arial"/>
                <w:b/>
                <w:bCs/>
                <w:sz w:val="22"/>
                <w:szCs w:val="22"/>
              </w:rPr>
              <w:t>Total</w:t>
            </w:r>
          </w:p>
        </w:tc>
        <w:tc>
          <w:tcPr>
            <w:tcW w:w="0" w:type="auto"/>
            <w:hideMark/>
          </w:tcPr>
          <w:p w14:paraId="169B8716"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b/>
                <w:bCs/>
                <w:sz w:val="22"/>
                <w:szCs w:val="22"/>
              </w:rPr>
              <w:t>48</w:t>
            </w:r>
          </w:p>
        </w:tc>
        <w:tc>
          <w:tcPr>
            <w:tcW w:w="0" w:type="auto"/>
            <w:hideMark/>
          </w:tcPr>
          <w:p w14:paraId="679A08BE" w14:textId="77777777" w:rsidR="00F0642F" w:rsidRPr="00F0642F" w:rsidRDefault="00F0642F" w:rsidP="00583A33">
            <w:pPr>
              <w:spacing w:line="360" w:lineRule="auto"/>
              <w:jc w:val="center"/>
              <w:rPr>
                <w:rFonts w:ascii="Arial" w:hAnsi="Arial" w:cs="Arial"/>
                <w:sz w:val="22"/>
                <w:szCs w:val="22"/>
              </w:rPr>
            </w:pPr>
            <w:r w:rsidRPr="00F0642F">
              <w:rPr>
                <w:rFonts w:ascii="Arial" w:hAnsi="Arial" w:cs="Arial"/>
                <w:b/>
                <w:bCs/>
                <w:sz w:val="22"/>
                <w:szCs w:val="22"/>
              </w:rPr>
              <w:t>24,1%</w:t>
            </w:r>
          </w:p>
        </w:tc>
      </w:tr>
    </w:tbl>
    <w:p w14:paraId="267BA381" w14:textId="77777777" w:rsidR="00F0642F" w:rsidRDefault="00F0642F" w:rsidP="006068A2">
      <w:pPr>
        <w:spacing w:line="360" w:lineRule="auto"/>
        <w:jc w:val="both"/>
        <w:rPr>
          <w:rFonts w:ascii="Arial" w:hAnsi="Arial" w:cs="Arial"/>
          <w:sz w:val="16"/>
          <w:szCs w:val="16"/>
          <w:lang w:val="es-ES"/>
        </w:rPr>
      </w:pPr>
    </w:p>
    <w:p w14:paraId="6AA7E58B" w14:textId="270C85F4" w:rsidR="000E5255" w:rsidRPr="00454811" w:rsidRDefault="00F1648A" w:rsidP="006068A2">
      <w:pPr>
        <w:spacing w:line="360" w:lineRule="auto"/>
        <w:jc w:val="both"/>
        <w:rPr>
          <w:rFonts w:ascii="Arial" w:hAnsi="Arial" w:cs="Arial"/>
          <w:b/>
          <w:bCs/>
          <w:sz w:val="16"/>
          <w:szCs w:val="16"/>
          <w:lang w:val="es-ES"/>
        </w:rPr>
      </w:pPr>
      <w:r w:rsidRPr="00454811">
        <w:rPr>
          <w:rFonts w:ascii="Arial" w:hAnsi="Arial" w:cs="Arial"/>
          <w:sz w:val="16"/>
          <w:szCs w:val="16"/>
          <w:lang w:val="es-ES"/>
        </w:rPr>
        <w:t>Fuente</w:t>
      </w:r>
      <w:r w:rsidR="000E5255" w:rsidRPr="00454811">
        <w:rPr>
          <w:rFonts w:ascii="Arial" w:hAnsi="Arial" w:cs="Arial"/>
          <w:sz w:val="16"/>
          <w:szCs w:val="16"/>
          <w:lang w:val="es-ES"/>
        </w:rPr>
        <w:t xml:space="preserve">: Reporte de Google Forms del </w:t>
      </w:r>
      <w:r w:rsidRPr="00454811">
        <w:rPr>
          <w:rFonts w:ascii="Arial" w:hAnsi="Arial" w:cs="Arial"/>
          <w:sz w:val="16"/>
          <w:szCs w:val="16"/>
          <w:lang w:val="es-ES"/>
        </w:rPr>
        <w:t>Número</w:t>
      </w:r>
      <w:r w:rsidR="000E5255" w:rsidRPr="00454811">
        <w:rPr>
          <w:rFonts w:ascii="Arial" w:hAnsi="Arial" w:cs="Arial"/>
          <w:sz w:val="16"/>
          <w:szCs w:val="16"/>
          <w:lang w:val="es-ES"/>
        </w:rPr>
        <w:t xml:space="preserve"> de casos especiales detectados por GAMA (27/05/2025 - 31/01/2026)</w:t>
      </w:r>
    </w:p>
    <w:p w14:paraId="2B4761B7" w14:textId="77777777" w:rsidR="000E5255" w:rsidRPr="006068A2" w:rsidRDefault="000E5255" w:rsidP="006068A2">
      <w:pPr>
        <w:spacing w:line="360" w:lineRule="auto"/>
        <w:jc w:val="both"/>
        <w:rPr>
          <w:rFonts w:ascii="Arial" w:hAnsi="Arial" w:cs="Arial"/>
          <w:sz w:val="22"/>
          <w:szCs w:val="22"/>
          <w:lang w:val="es-ES"/>
        </w:rPr>
      </w:pPr>
    </w:p>
    <w:p w14:paraId="5BB74339" w14:textId="77777777" w:rsid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Como se observa en la Tabla 18, del total de eventos asociados a la categoría agrupada fuera del detalle principal de red, 25 casos (12,6%) se concentraron en tres IPS específicas no identificadas en el cruce con la red reportada por la EPS, mientras que 23 casos (11,6%) permanecieron sin desagregación institucional específica. Este resultado evidencia una limitación metodológica importante en la trazabilidad de los eventos y sugiere la necesidad de fortalecer la consistencia, actualización y depuración de la información de red prestadora reportada por la entidad.</w:t>
      </w:r>
    </w:p>
    <w:p w14:paraId="504A4CBD" w14:textId="77777777" w:rsidR="00717507" w:rsidRPr="00336F23" w:rsidRDefault="00717507" w:rsidP="00336F23">
      <w:pPr>
        <w:spacing w:line="360" w:lineRule="auto"/>
        <w:jc w:val="both"/>
        <w:rPr>
          <w:rFonts w:ascii="Arial" w:eastAsia="Arial" w:hAnsi="Arial" w:cs="Arial"/>
          <w:sz w:val="22"/>
          <w:szCs w:val="22"/>
        </w:rPr>
      </w:pPr>
    </w:p>
    <w:p w14:paraId="209AC969" w14:textId="77777777" w:rsid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En conjunto, los resultados del seguimiento realizado por GAMA evidencian una problemática relevante en la oportunidad y efectividad de los procesos de referencia, remisión, traslado e interconsulta para los afiliados de COOSALUD EPS, con tiempos superiores a 24 horas. El hecho de que tres de cada cuatro casos se concentren en IPS incluidas dentro de la red contratada indica que las dificultades observadas no se relacionan exclusivamente con eventos de atención fuera de red, sino también con debilidades en la gestión operativa, en la coordinación funcional de la red y en la capacidad de respuesta efectiva de los prestadores vinculados.</w:t>
      </w:r>
    </w:p>
    <w:p w14:paraId="339ED7B7" w14:textId="77777777" w:rsidR="00336F23" w:rsidRPr="00336F23" w:rsidRDefault="00336F23" w:rsidP="00336F23">
      <w:pPr>
        <w:spacing w:line="360" w:lineRule="auto"/>
        <w:jc w:val="both"/>
        <w:rPr>
          <w:rFonts w:ascii="Arial" w:eastAsia="Arial" w:hAnsi="Arial" w:cs="Arial"/>
          <w:sz w:val="22"/>
          <w:szCs w:val="22"/>
        </w:rPr>
      </w:pPr>
    </w:p>
    <w:p w14:paraId="6D2D839A" w14:textId="77777777" w:rsid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Desde la perspectiva del aseguramiento, este comportamiento puede traducirse en mayores barreras para el acceso oportuno a servicios especializados, retrasos en la continuidad de la atención y aumento del riesgo clínico en usuarios que requieren resolución rápida de sus necesidades asistenciales. En particular, la concentración de eventos en instituciones de alta demanda obliga a revisar la suficiencia de red, la oportunidad real de los mecanismos de referencia y contrarreferencia, la gestión de disponibilidad de servicios y la articulación entre los diferentes niveles de atención.</w:t>
      </w:r>
    </w:p>
    <w:p w14:paraId="29AA0BCA" w14:textId="77777777" w:rsidR="00336F23" w:rsidRPr="00336F23" w:rsidRDefault="00336F23" w:rsidP="00336F23">
      <w:pPr>
        <w:spacing w:line="360" w:lineRule="auto"/>
        <w:jc w:val="both"/>
        <w:rPr>
          <w:rFonts w:ascii="Arial" w:eastAsia="Arial" w:hAnsi="Arial" w:cs="Arial"/>
          <w:sz w:val="22"/>
          <w:szCs w:val="22"/>
        </w:rPr>
      </w:pPr>
    </w:p>
    <w:p w14:paraId="061EAF92" w14:textId="77777777" w:rsid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En este contexto, COOSALUD EPS requiere fortalecer de manera prioritaria la gestión de su red prestadora, especialmente en los componentes de seguimiento a prestadores con mayor recurrencia de casos, oportunidad en la respuesta a remisiones, actualización permanente de la red contratada y calidad de la información reportada para el seguimiento territorial. Igualmente, se hace necesario mejorar la trazabilidad de los casos que no logran ser clasificados con claridad dentro de la red, con el fin de reducir vacíos de información que limiten la toma de decisiones correctivas.</w:t>
      </w:r>
    </w:p>
    <w:p w14:paraId="52E1E612" w14:textId="77777777" w:rsidR="00336F23" w:rsidRPr="00336F23" w:rsidRDefault="00336F23" w:rsidP="00336F23">
      <w:pPr>
        <w:spacing w:line="360" w:lineRule="auto"/>
        <w:jc w:val="both"/>
        <w:rPr>
          <w:rFonts w:ascii="Arial" w:eastAsia="Arial" w:hAnsi="Arial" w:cs="Arial"/>
          <w:sz w:val="22"/>
          <w:szCs w:val="22"/>
        </w:rPr>
      </w:pPr>
    </w:p>
    <w:p w14:paraId="62423AFF" w14:textId="49FA90F2" w:rsidR="00336F23" w:rsidRPr="00336F23" w:rsidRDefault="00336F23" w:rsidP="00336F23">
      <w:pPr>
        <w:spacing w:line="360" w:lineRule="auto"/>
        <w:jc w:val="both"/>
        <w:rPr>
          <w:rFonts w:ascii="Arial" w:eastAsia="Arial" w:hAnsi="Arial" w:cs="Arial"/>
          <w:sz w:val="22"/>
          <w:szCs w:val="22"/>
        </w:rPr>
      </w:pPr>
      <w:r w:rsidRPr="00336F23">
        <w:rPr>
          <w:rFonts w:ascii="Arial" w:eastAsia="Arial" w:hAnsi="Arial" w:cs="Arial"/>
          <w:sz w:val="22"/>
          <w:szCs w:val="22"/>
        </w:rPr>
        <w:t xml:space="preserve">En </w:t>
      </w:r>
      <w:r w:rsidR="00583A33">
        <w:rPr>
          <w:rFonts w:ascii="Arial" w:eastAsia="Arial" w:hAnsi="Arial" w:cs="Arial"/>
          <w:sz w:val="22"/>
          <w:szCs w:val="22"/>
        </w:rPr>
        <w:t>síntesis</w:t>
      </w:r>
      <w:r w:rsidRPr="00336F23">
        <w:rPr>
          <w:rFonts w:ascii="Arial" w:eastAsia="Arial" w:hAnsi="Arial" w:cs="Arial"/>
          <w:sz w:val="22"/>
          <w:szCs w:val="22"/>
        </w:rPr>
        <w:t>, aunque COOSALUD EPS representa el 2,2% del total de casos identificados por GAMA en el periodo analizado, la magnitud absoluta de los eventos detectados y su concentración en IPS de la propia red prestadora evidencian la necesidad de implementar acciones correctivas y preventivas orientadas a mejorar la oportunidad en la atención, optimizar la gestión de la red, fortalecer los procesos de referencia y contrarreferencia y garantizar una capacidad de respuesta más efectiva frente a la demanda asistencial. Estas acciones resultan fundamentales para asegurar el acceso oportuno, continuo y de calidad a los servicios de salud, en concordancia con los principios de integralidad, eficiencia y protección del derecho fundamental a la salud.</w:t>
      </w:r>
    </w:p>
    <w:p w14:paraId="2CC7449C" w14:textId="77777777" w:rsidR="00913C12" w:rsidRPr="00336F23" w:rsidRDefault="00913C12" w:rsidP="006068A2">
      <w:pPr>
        <w:spacing w:line="360" w:lineRule="auto"/>
        <w:jc w:val="both"/>
        <w:rPr>
          <w:rFonts w:ascii="Arial" w:eastAsia="Arial" w:hAnsi="Arial" w:cs="Arial"/>
          <w:sz w:val="22"/>
          <w:szCs w:val="22"/>
        </w:rPr>
      </w:pPr>
    </w:p>
    <w:p w14:paraId="53C9BFB0" w14:textId="4A16D059" w:rsidR="00913C12" w:rsidRPr="00CE7728" w:rsidRDefault="00913C12" w:rsidP="00CE7728">
      <w:pPr>
        <w:pStyle w:val="Ttulo2"/>
        <w:numPr>
          <w:ilvl w:val="1"/>
          <w:numId w:val="9"/>
        </w:numPr>
        <w:spacing w:before="0" w:line="360" w:lineRule="auto"/>
        <w:jc w:val="both"/>
        <w:rPr>
          <w:rStyle w:val="eop"/>
          <w:rFonts w:ascii="Arial" w:hAnsi="Arial" w:cs="Arial"/>
          <w:b/>
          <w:bCs/>
          <w:color w:val="000000"/>
          <w:sz w:val="22"/>
          <w:szCs w:val="22"/>
        </w:rPr>
      </w:pPr>
      <w:bookmarkStart w:id="60" w:name="_Toc229397855"/>
      <w:r w:rsidRPr="00CE7728">
        <w:rPr>
          <w:rFonts w:ascii="Arial" w:eastAsia="Arial" w:hAnsi="Arial" w:cs="Arial"/>
          <w:b/>
          <w:bCs/>
          <w:color w:val="000000" w:themeColor="text1"/>
          <w:sz w:val="22"/>
          <w:szCs w:val="22"/>
          <w:lang w:val="es"/>
        </w:rPr>
        <w:t xml:space="preserve">Análisis </w:t>
      </w:r>
      <w:r w:rsidR="00CE7728" w:rsidRPr="00CE7728">
        <w:rPr>
          <w:rFonts w:ascii="Arial" w:eastAsia="Arial" w:hAnsi="Arial" w:cs="Arial"/>
          <w:b/>
          <w:bCs/>
          <w:color w:val="000000" w:themeColor="text1"/>
          <w:sz w:val="22"/>
          <w:szCs w:val="22"/>
          <w:lang w:val="es"/>
        </w:rPr>
        <w:t xml:space="preserve">COOSALUD </w:t>
      </w:r>
      <w:r w:rsidR="00CE7728">
        <w:rPr>
          <w:rFonts w:ascii="Arial" w:eastAsia="Arial" w:hAnsi="Arial" w:cs="Arial"/>
          <w:b/>
          <w:bCs/>
          <w:color w:val="000000" w:themeColor="text1"/>
          <w:sz w:val="22"/>
          <w:szCs w:val="22"/>
          <w:lang w:val="es"/>
        </w:rPr>
        <w:t xml:space="preserve">EPS </w:t>
      </w:r>
      <w:r w:rsidRPr="00CE7728">
        <w:rPr>
          <w:rFonts w:ascii="Arial" w:eastAsia="Arial" w:hAnsi="Arial" w:cs="Arial"/>
          <w:b/>
          <w:bCs/>
          <w:color w:val="000000" w:themeColor="text1"/>
          <w:sz w:val="22"/>
          <w:szCs w:val="22"/>
          <w:lang w:val="es"/>
        </w:rPr>
        <w:t>oportunidad en la asignación de citas médicas</w:t>
      </w:r>
      <w:bookmarkEnd w:id="60"/>
      <w:r w:rsidRPr="00CE7728">
        <w:rPr>
          <w:rFonts w:ascii="Arial" w:eastAsia="Arial" w:hAnsi="Arial" w:cs="Arial"/>
          <w:b/>
          <w:bCs/>
          <w:color w:val="000000" w:themeColor="text1"/>
          <w:sz w:val="22"/>
          <w:szCs w:val="22"/>
          <w:lang w:val="es"/>
        </w:rPr>
        <w:t> </w:t>
      </w:r>
    </w:p>
    <w:p w14:paraId="03F18B87" w14:textId="77777777" w:rsidR="00BC4FB1" w:rsidRPr="00BC4FB1" w:rsidRDefault="00BC4FB1" w:rsidP="00BC4FB1">
      <w:pPr>
        <w:spacing w:line="360" w:lineRule="auto"/>
        <w:jc w:val="both"/>
        <w:rPr>
          <w:rFonts w:ascii="Arial" w:hAnsi="Arial" w:cs="Arial"/>
          <w:sz w:val="22"/>
          <w:szCs w:val="22"/>
        </w:rPr>
      </w:pPr>
    </w:p>
    <w:p w14:paraId="22F5C279" w14:textId="77777777" w:rsidR="00BC4FB1" w:rsidRPr="00BC4FB1" w:rsidRDefault="00BC4FB1" w:rsidP="00BC4FB1">
      <w:pPr>
        <w:spacing w:line="360" w:lineRule="auto"/>
        <w:jc w:val="both"/>
        <w:rPr>
          <w:rFonts w:ascii="Arial" w:hAnsi="Arial" w:cs="Arial"/>
          <w:sz w:val="22"/>
          <w:szCs w:val="22"/>
        </w:rPr>
      </w:pPr>
      <w:r w:rsidRPr="00BC4FB1">
        <w:rPr>
          <w:rFonts w:ascii="Arial" w:hAnsi="Arial" w:cs="Arial"/>
          <w:sz w:val="22"/>
          <w:szCs w:val="22"/>
        </w:rPr>
        <w:t>En el marco del requerimiento de información efectuado a COOSALUD EPS, se solicitó en dos oportunidades la remisión del soporte documental y de la información relacionada con el componente de medicamentos, mediante los radicados No. 2026-EE-20276 y 2026-EE-23445, sin que a la fecha se hubiera recibido respuesta por parte de la entidad.</w:t>
      </w:r>
    </w:p>
    <w:p w14:paraId="49325EA5" w14:textId="77777777" w:rsidR="00BC4FB1" w:rsidRPr="00BC4FB1" w:rsidRDefault="00BC4FB1" w:rsidP="00BC4FB1">
      <w:pPr>
        <w:spacing w:line="360" w:lineRule="auto"/>
        <w:jc w:val="both"/>
        <w:rPr>
          <w:rFonts w:ascii="Arial" w:hAnsi="Arial" w:cs="Arial"/>
          <w:sz w:val="22"/>
          <w:szCs w:val="22"/>
        </w:rPr>
      </w:pPr>
    </w:p>
    <w:p w14:paraId="2C65ACBF" w14:textId="77777777" w:rsidR="00BC4FB1" w:rsidRPr="00BC4FB1" w:rsidRDefault="00BC4FB1" w:rsidP="00BC4FB1">
      <w:pPr>
        <w:spacing w:line="360" w:lineRule="auto"/>
        <w:jc w:val="both"/>
        <w:rPr>
          <w:rFonts w:ascii="Arial" w:hAnsi="Arial" w:cs="Arial"/>
          <w:sz w:val="22"/>
          <w:szCs w:val="22"/>
        </w:rPr>
      </w:pPr>
      <w:r w:rsidRPr="00BC4FB1">
        <w:rPr>
          <w:rFonts w:ascii="Arial" w:hAnsi="Arial" w:cs="Arial"/>
          <w:sz w:val="22"/>
          <w:szCs w:val="22"/>
        </w:rPr>
        <w:t>Ante la ausencia de respuesta y con el fin de obtener directamente los insumos requeridos para el análisis, se adelantó visita administrativa en cumplimiento del Auto de Visita del 22 de marzo de 2026, la cual fue practicada el 26 de marzo de 2026. Durante el desarrollo de dicha actuación administrativa, COOSALUD EPS tampoco suministró la información solicitada relacionada con medicamentos, pese a haber sido requerida formalmente.</w:t>
      </w:r>
    </w:p>
    <w:p w14:paraId="53A0D5D4" w14:textId="77777777" w:rsidR="00BC4FB1" w:rsidRPr="00BC4FB1" w:rsidRDefault="00BC4FB1" w:rsidP="00BC4FB1">
      <w:pPr>
        <w:spacing w:line="360" w:lineRule="auto"/>
        <w:jc w:val="both"/>
        <w:rPr>
          <w:rFonts w:ascii="Arial" w:hAnsi="Arial" w:cs="Arial"/>
          <w:sz w:val="22"/>
          <w:szCs w:val="22"/>
        </w:rPr>
      </w:pPr>
    </w:p>
    <w:p w14:paraId="7B1AAEAD" w14:textId="5C3819EE" w:rsidR="00BC4FB1" w:rsidRDefault="00BC4FB1" w:rsidP="00BC4FB1">
      <w:pPr>
        <w:spacing w:line="360" w:lineRule="auto"/>
        <w:jc w:val="both"/>
      </w:pPr>
      <w:r w:rsidRPr="00BC4FB1">
        <w:rPr>
          <w:rFonts w:ascii="Arial" w:hAnsi="Arial" w:cs="Arial"/>
          <w:sz w:val="22"/>
          <w:szCs w:val="22"/>
        </w:rPr>
        <w:t>En consecuencia, no se cuenta con información técnica, documental ni verificable suficiente para adelantar el análisis correspondiente a este componente, situación que limita la evaluación integral por parte de la Entidad Territorial y constituye una restricción para la verificación del cumplimiento de las obligaciones asociadas a la gestión y garantía del acceso a medicamentos</w:t>
      </w:r>
      <w:r>
        <w:t>.</w:t>
      </w:r>
    </w:p>
    <w:p w14:paraId="7CFD9E79" w14:textId="77777777" w:rsidR="00BC4FB1" w:rsidRPr="00BC4FB1" w:rsidRDefault="00BC4FB1" w:rsidP="00BC4FB1"/>
    <w:p w14:paraId="6E68B85B" w14:textId="40ABA97D" w:rsidR="000C4AE0" w:rsidRPr="006068A2" w:rsidRDefault="00DA68C7" w:rsidP="004D7781">
      <w:pPr>
        <w:pStyle w:val="Ttulo1"/>
        <w:numPr>
          <w:ilvl w:val="0"/>
          <w:numId w:val="9"/>
        </w:numPr>
        <w:spacing w:before="0" w:line="360" w:lineRule="auto"/>
        <w:jc w:val="both"/>
        <w:rPr>
          <w:rFonts w:ascii="Arial" w:hAnsi="Arial" w:cs="Arial"/>
          <w:b/>
          <w:bCs/>
          <w:color w:val="auto"/>
          <w:sz w:val="22"/>
          <w:szCs w:val="22"/>
          <w:lang w:val="es-ES"/>
        </w:rPr>
      </w:pPr>
      <w:bookmarkStart w:id="61" w:name="_Toc229397856"/>
      <w:bookmarkEnd w:id="55"/>
      <w:r w:rsidRPr="006068A2">
        <w:rPr>
          <w:rFonts w:ascii="Arial" w:hAnsi="Arial" w:cs="Arial"/>
          <w:b/>
          <w:bCs/>
          <w:color w:val="auto"/>
          <w:sz w:val="22"/>
          <w:szCs w:val="22"/>
          <w:lang w:val="es-ES"/>
        </w:rPr>
        <w:t>MEDICAMENTOS</w:t>
      </w:r>
      <w:bookmarkEnd w:id="61"/>
    </w:p>
    <w:p w14:paraId="42756F7F" w14:textId="77777777" w:rsidR="006125C9" w:rsidRPr="006068A2" w:rsidRDefault="006125C9" w:rsidP="006068A2">
      <w:pPr>
        <w:shd w:val="clear" w:color="auto" w:fill="FFFFFF"/>
        <w:spacing w:line="360" w:lineRule="auto"/>
        <w:jc w:val="both"/>
        <w:rPr>
          <w:rFonts w:ascii="Arial" w:hAnsi="Arial" w:cs="Arial"/>
          <w:sz w:val="22"/>
          <w:szCs w:val="22"/>
        </w:rPr>
      </w:pPr>
    </w:p>
    <w:p w14:paraId="7B764CAB" w14:textId="0D1B88E5" w:rsidR="007013EA" w:rsidRPr="006068A2" w:rsidRDefault="007013EA" w:rsidP="004D7781">
      <w:pPr>
        <w:pStyle w:val="Ttulo2"/>
        <w:numPr>
          <w:ilvl w:val="1"/>
          <w:numId w:val="9"/>
        </w:numPr>
        <w:spacing w:before="0" w:line="360" w:lineRule="auto"/>
        <w:jc w:val="both"/>
        <w:rPr>
          <w:rFonts w:ascii="Arial" w:hAnsi="Arial" w:cs="Arial"/>
          <w:b/>
          <w:bCs/>
          <w:color w:val="auto"/>
          <w:sz w:val="22"/>
          <w:szCs w:val="22"/>
          <w:bdr w:val="none" w:sz="0" w:space="0" w:color="auto" w:frame="1"/>
        </w:rPr>
      </w:pPr>
      <w:bookmarkStart w:id="62" w:name="_Toc229397857"/>
      <w:r w:rsidRPr="006068A2">
        <w:rPr>
          <w:rFonts w:ascii="Arial" w:hAnsi="Arial" w:cs="Arial"/>
          <w:b/>
          <w:bCs/>
          <w:color w:val="auto"/>
          <w:sz w:val="22"/>
          <w:szCs w:val="22"/>
        </w:rPr>
        <w:lastRenderedPageBreak/>
        <w:t>Análisis de</w:t>
      </w:r>
      <w:r w:rsidR="0045406A" w:rsidRPr="006068A2">
        <w:rPr>
          <w:rFonts w:ascii="Arial" w:hAnsi="Arial" w:cs="Arial"/>
          <w:b/>
          <w:bCs/>
          <w:color w:val="auto"/>
          <w:sz w:val="22"/>
          <w:szCs w:val="22"/>
        </w:rPr>
        <w:t xml:space="preserve"> </w:t>
      </w:r>
      <w:r w:rsidRPr="006068A2">
        <w:rPr>
          <w:rFonts w:ascii="Arial" w:hAnsi="Arial" w:cs="Arial"/>
          <w:b/>
          <w:bCs/>
          <w:color w:val="auto"/>
          <w:sz w:val="22"/>
          <w:szCs w:val="22"/>
        </w:rPr>
        <w:t xml:space="preserve">información </w:t>
      </w:r>
      <w:r w:rsidR="00D27DB3" w:rsidRPr="006068A2">
        <w:rPr>
          <w:rFonts w:ascii="Arial" w:hAnsi="Arial" w:cs="Arial"/>
          <w:b/>
          <w:bCs/>
          <w:color w:val="auto"/>
          <w:sz w:val="22"/>
          <w:szCs w:val="22"/>
        </w:rPr>
        <w:t xml:space="preserve">del servicio farmacéutico </w:t>
      </w:r>
      <w:r w:rsidRPr="006068A2">
        <w:rPr>
          <w:rFonts w:ascii="Arial" w:hAnsi="Arial" w:cs="Arial"/>
          <w:b/>
          <w:bCs/>
          <w:color w:val="auto"/>
          <w:sz w:val="22"/>
          <w:szCs w:val="22"/>
        </w:rPr>
        <w:t xml:space="preserve">aportada por </w:t>
      </w:r>
      <w:r w:rsidR="00B37DA5" w:rsidRPr="006068A2">
        <w:rPr>
          <w:rFonts w:ascii="Arial" w:hAnsi="Arial" w:cs="Arial"/>
          <w:b/>
          <w:bCs/>
          <w:color w:val="auto"/>
          <w:sz w:val="22"/>
          <w:szCs w:val="22"/>
        </w:rPr>
        <w:t>COOSALUD</w:t>
      </w:r>
      <w:bookmarkEnd w:id="62"/>
    </w:p>
    <w:p w14:paraId="7AAF3A08" w14:textId="77777777" w:rsidR="00714F6A" w:rsidRPr="006068A2" w:rsidRDefault="00714F6A" w:rsidP="006068A2">
      <w:pPr>
        <w:shd w:val="clear" w:color="auto" w:fill="FFFFFF"/>
        <w:spacing w:line="360" w:lineRule="auto"/>
        <w:jc w:val="both"/>
        <w:rPr>
          <w:rFonts w:ascii="Arial" w:hAnsi="Arial" w:cs="Arial"/>
          <w:color w:val="000000"/>
          <w:sz w:val="22"/>
          <w:szCs w:val="22"/>
          <w:bdr w:val="none" w:sz="0" w:space="0" w:color="auto" w:frame="1"/>
          <w:lang w:val="es-ES" w:eastAsia="es-ES"/>
        </w:rPr>
      </w:pPr>
    </w:p>
    <w:p w14:paraId="4A7666A4" w14:textId="3337B1DD" w:rsidR="00714F6A" w:rsidRPr="006068A2" w:rsidRDefault="00714F6A" w:rsidP="006068A2">
      <w:pPr>
        <w:shd w:val="clear" w:color="auto" w:fill="FFFFFF"/>
        <w:spacing w:line="360" w:lineRule="auto"/>
        <w:jc w:val="both"/>
        <w:rPr>
          <w:rFonts w:ascii="Arial" w:hAnsi="Arial" w:cs="Arial"/>
          <w:color w:val="242424"/>
          <w:sz w:val="22"/>
          <w:szCs w:val="22"/>
          <w:lang w:val="es-ES" w:eastAsia="es-ES"/>
        </w:rPr>
      </w:pPr>
      <w:r w:rsidRPr="006068A2">
        <w:rPr>
          <w:rFonts w:ascii="Arial" w:hAnsi="Arial" w:cs="Arial"/>
          <w:color w:val="000000"/>
          <w:sz w:val="22"/>
          <w:szCs w:val="22"/>
          <w:bdr w:val="none" w:sz="0" w:space="0" w:color="auto" w:frame="1"/>
          <w:lang w:val="es-ES" w:eastAsia="es-ES"/>
        </w:rPr>
        <w:t>En el marco del requerimiento de información, se solicitó a la EPS Coosalud EPS el reporte correspondiente en dos (2) oportunidades, mediante los radicados No. 2026-EE-20276 y 2026-EE-23445, sin obtener respuesta.</w:t>
      </w:r>
    </w:p>
    <w:p w14:paraId="5FDB3D29" w14:textId="0CFAB120" w:rsidR="00B37DA5" w:rsidRPr="006068A2" w:rsidRDefault="00714F6A" w:rsidP="006068A2">
      <w:pPr>
        <w:shd w:val="clear" w:color="auto" w:fill="FFFFFF"/>
        <w:spacing w:line="360" w:lineRule="auto"/>
        <w:jc w:val="both"/>
        <w:rPr>
          <w:rFonts w:ascii="Arial" w:hAnsi="Arial" w:cs="Arial"/>
          <w:sz w:val="22"/>
          <w:szCs w:val="22"/>
        </w:rPr>
      </w:pPr>
      <w:r w:rsidRPr="006068A2">
        <w:rPr>
          <w:rFonts w:ascii="Arial" w:hAnsi="Arial" w:cs="Arial"/>
          <w:color w:val="000000"/>
          <w:sz w:val="22"/>
          <w:szCs w:val="22"/>
          <w:bdr w:val="none" w:sz="0" w:space="0" w:color="auto" w:frame="1"/>
          <w:lang w:val="es-ES" w:eastAsia="es-ES"/>
        </w:rPr>
        <w:br/>
        <w:t>Ante la falta de remisión de la información, se adelantó visita administrativa en cumpli</w:t>
      </w:r>
      <w:r w:rsidR="00B37DA5" w:rsidRPr="006068A2">
        <w:rPr>
          <w:rFonts w:ascii="Arial" w:hAnsi="Arial" w:cs="Arial"/>
          <w:color w:val="000000"/>
          <w:sz w:val="22"/>
          <w:szCs w:val="22"/>
          <w:bdr w:val="none" w:sz="0" w:space="0" w:color="auto" w:frame="1"/>
          <w:lang w:val="es-ES" w:eastAsia="es-ES"/>
        </w:rPr>
        <w:t>miento del Auto de Visita del 22</w:t>
      </w:r>
      <w:r w:rsidRPr="006068A2">
        <w:rPr>
          <w:rFonts w:ascii="Arial" w:hAnsi="Arial" w:cs="Arial"/>
          <w:color w:val="000000"/>
          <w:sz w:val="22"/>
          <w:szCs w:val="22"/>
          <w:bdr w:val="none" w:sz="0" w:space="0" w:color="auto" w:frame="1"/>
          <w:lang w:val="es-ES" w:eastAsia="es-ES"/>
        </w:rPr>
        <w:t xml:space="preserve"> de marzo de 2</w:t>
      </w:r>
      <w:r w:rsidR="00B37DA5" w:rsidRPr="006068A2">
        <w:rPr>
          <w:rFonts w:ascii="Arial" w:hAnsi="Arial" w:cs="Arial"/>
          <w:color w:val="000000"/>
          <w:sz w:val="22"/>
          <w:szCs w:val="22"/>
          <w:bdr w:val="none" w:sz="0" w:space="0" w:color="auto" w:frame="1"/>
          <w:lang w:val="es-ES" w:eastAsia="es-ES"/>
        </w:rPr>
        <w:t>026, la cual fue ejecutada el 27</w:t>
      </w:r>
      <w:r w:rsidRPr="006068A2">
        <w:rPr>
          <w:rFonts w:ascii="Arial" w:hAnsi="Arial" w:cs="Arial"/>
          <w:color w:val="000000"/>
          <w:sz w:val="22"/>
          <w:szCs w:val="22"/>
          <w:bdr w:val="none" w:sz="0" w:space="0" w:color="auto" w:frame="1"/>
          <w:lang w:val="es-ES" w:eastAsia="es-ES"/>
        </w:rPr>
        <w:t xml:space="preserve"> de marzo de 2026. </w:t>
      </w:r>
    </w:p>
    <w:p w14:paraId="78C62D20" w14:textId="62B972F5" w:rsidR="00B37DA5"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En el marco del seguimiento a la red farmacéutica reportada en la página web de COOSALUD EPS (</w:t>
      </w:r>
      <w:hyperlink r:id="rId29" w:tgtFrame="_new" w:history="1">
        <w:r w:rsidRPr="006068A2">
          <w:rPr>
            <w:rStyle w:val="Hipervnculo"/>
            <w:rFonts w:ascii="Arial" w:hAnsi="Arial" w:cs="Arial"/>
            <w:sz w:val="22"/>
            <w:szCs w:val="22"/>
          </w:rPr>
          <w:t>https://coosalud.com/centros-de-atencion-contributivo/</w:t>
        </w:r>
      </w:hyperlink>
      <w:r w:rsidRPr="006068A2">
        <w:rPr>
          <w:rFonts w:ascii="Arial" w:hAnsi="Arial" w:cs="Arial"/>
          <w:sz w:val="22"/>
          <w:szCs w:val="22"/>
        </w:rPr>
        <w:t>), la Secretaría Distrital de Salud (SDS) realizó visitas de verificación a puntos de dispensación de medicamentos ubicados en las lo</w:t>
      </w:r>
      <w:r w:rsidR="00C82CF7" w:rsidRPr="006068A2">
        <w:rPr>
          <w:rFonts w:ascii="Arial" w:hAnsi="Arial" w:cs="Arial"/>
          <w:sz w:val="22"/>
          <w:szCs w:val="22"/>
        </w:rPr>
        <w:t>calidades de Kennedy,</w:t>
      </w:r>
      <w:r w:rsidRPr="006068A2">
        <w:rPr>
          <w:rFonts w:ascii="Arial" w:hAnsi="Arial" w:cs="Arial"/>
          <w:sz w:val="22"/>
          <w:szCs w:val="22"/>
        </w:rPr>
        <w:t xml:space="preserve"> Suba, incluyendo el operador farmacéutico Surti Drogas del Occidente, ubicado en la Carrera 106 A #70A – 37, barrio Bosques de Mariana. El propósito de estas visitas fue constatar la existencia, operación y condiciones básicas de funcionamiento de los puntos, así como verificar la correspondencia entre la información reportada por la EPS y lo evidenciado en terreno.</w:t>
      </w:r>
    </w:p>
    <w:p w14:paraId="3D25CC51" w14:textId="77777777" w:rsidR="00BC4FB1" w:rsidRPr="006068A2" w:rsidRDefault="00BC4FB1" w:rsidP="006068A2">
      <w:pPr>
        <w:shd w:val="clear" w:color="auto" w:fill="FFFFFF"/>
        <w:spacing w:line="360" w:lineRule="auto"/>
        <w:jc w:val="both"/>
        <w:rPr>
          <w:rFonts w:ascii="Arial" w:hAnsi="Arial" w:cs="Arial"/>
          <w:sz w:val="22"/>
          <w:szCs w:val="22"/>
        </w:rPr>
      </w:pPr>
    </w:p>
    <w:p w14:paraId="65BE1FA8" w14:textId="77777777" w:rsidR="00B37DA5"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Como resultado de la visita realizada el 27 de marzo de 2026, se verificó que, en términos generales, los puntos de dispensación reportados por COOSALUD EPS se encuentran en funcionamiento y cumplen con condiciones básicas de operación. Se evidenció la existencia de identificación visible del gestor farmacéutico, soporte contractual vigente, horarios de atención publicados y la implementación de mecanismos de priorización para poblaciones especiales como gestantes, niños, personas mayores y otros grupos priorizados. Esto permite concluir que, en su mayoría, la red farmacéutica presenta condiciones acordes con lo reportado por la EPS.</w:t>
      </w:r>
    </w:p>
    <w:p w14:paraId="4860C799" w14:textId="77777777" w:rsidR="00BC4FB1" w:rsidRPr="006068A2" w:rsidRDefault="00BC4FB1" w:rsidP="006068A2">
      <w:pPr>
        <w:shd w:val="clear" w:color="auto" w:fill="FFFFFF"/>
        <w:spacing w:line="360" w:lineRule="auto"/>
        <w:jc w:val="both"/>
        <w:rPr>
          <w:rFonts w:ascii="Arial" w:hAnsi="Arial" w:cs="Arial"/>
          <w:sz w:val="22"/>
          <w:szCs w:val="22"/>
        </w:rPr>
      </w:pPr>
    </w:p>
    <w:p w14:paraId="49D153C3" w14:textId="56D96E05" w:rsidR="00B37DA5"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 xml:space="preserve">No obstante, se identificaron hallazgos relevantes que requieren atención y ajuste por parte de la entidad. En la localidad de Suba, se evidenció que el dispensario atiende exclusivamente a afiliados de COOSALUD, lo cual podría limitar el acceso en escenarios de movilidad o generar barreras en la atención si no se encuentra debidamente informado al usuario. Por otra parte, en la localidad de Kennedy, aunque inicialmente se identificó un punto con señalización, soporte contractual y condiciones aparentes de funcionamiento, al momento de la verificación se evidenció que no se encontraba prestando el servicio. Según </w:t>
      </w:r>
      <w:r w:rsidRPr="006068A2">
        <w:rPr>
          <w:rFonts w:ascii="Arial" w:hAnsi="Arial" w:cs="Arial"/>
          <w:sz w:val="22"/>
          <w:szCs w:val="22"/>
        </w:rPr>
        <w:lastRenderedPageBreak/>
        <w:t>lo manifestado por el administrador, el operador farmacéu</w:t>
      </w:r>
      <w:r w:rsidR="00C82CF7" w:rsidRPr="006068A2">
        <w:rPr>
          <w:rFonts w:ascii="Arial" w:hAnsi="Arial" w:cs="Arial"/>
          <w:sz w:val="22"/>
          <w:szCs w:val="22"/>
        </w:rPr>
        <w:t xml:space="preserve">tico Surti Drogas </w:t>
      </w:r>
      <w:r w:rsidRPr="006068A2">
        <w:rPr>
          <w:rFonts w:ascii="Arial" w:hAnsi="Arial" w:cs="Arial"/>
          <w:sz w:val="22"/>
          <w:szCs w:val="22"/>
        </w:rPr>
        <w:t>no prorrogó el contrato, razón por la cual la atención se encontraba suspendida desde hacía aproximadamente una semana.</w:t>
      </w:r>
    </w:p>
    <w:p w14:paraId="4124621A" w14:textId="77777777" w:rsidR="00F41C22" w:rsidRPr="006068A2" w:rsidRDefault="00F41C22" w:rsidP="006068A2">
      <w:pPr>
        <w:shd w:val="clear" w:color="auto" w:fill="FFFFFF"/>
        <w:spacing w:line="360" w:lineRule="auto"/>
        <w:jc w:val="both"/>
        <w:rPr>
          <w:rFonts w:ascii="Arial" w:hAnsi="Arial" w:cs="Arial"/>
          <w:sz w:val="22"/>
          <w:szCs w:val="22"/>
        </w:rPr>
      </w:pPr>
    </w:p>
    <w:p w14:paraId="7E87309C" w14:textId="77777777" w:rsidR="00B37DA5"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Esta situación afecta directamente la continuidad en la prestación del servicio y evidencia fallas en la gestión de la red, particularmente en la oportunidad de la información suministrada a los usuarios. Adicionalmente, se observó que la dirección verificada en terreno no coincide con la reportada por la EPS ni con la publicada en su página web, lo que constituye una inconsistencia que puede generar desinformación y dificultades de acceso para los afiliados.</w:t>
      </w:r>
    </w:p>
    <w:p w14:paraId="0BC59EF4" w14:textId="77777777" w:rsidR="00F41C22" w:rsidRPr="006068A2" w:rsidRDefault="00F41C22" w:rsidP="006068A2">
      <w:pPr>
        <w:shd w:val="clear" w:color="auto" w:fill="FFFFFF"/>
        <w:spacing w:line="360" w:lineRule="auto"/>
        <w:jc w:val="both"/>
        <w:rPr>
          <w:rFonts w:ascii="Arial" w:hAnsi="Arial" w:cs="Arial"/>
          <w:sz w:val="22"/>
          <w:szCs w:val="22"/>
        </w:rPr>
      </w:pPr>
    </w:p>
    <w:p w14:paraId="54EA3713" w14:textId="77777777" w:rsidR="007479AA" w:rsidRPr="006068A2" w:rsidRDefault="00B37DA5" w:rsidP="006068A2">
      <w:pPr>
        <w:shd w:val="clear" w:color="auto" w:fill="FFFFFF"/>
        <w:spacing w:line="360" w:lineRule="auto"/>
        <w:jc w:val="both"/>
        <w:rPr>
          <w:rFonts w:ascii="Arial" w:hAnsi="Arial" w:cs="Arial"/>
          <w:sz w:val="22"/>
          <w:szCs w:val="22"/>
        </w:rPr>
      </w:pPr>
      <w:r w:rsidRPr="006068A2">
        <w:rPr>
          <w:rFonts w:ascii="Arial" w:hAnsi="Arial" w:cs="Arial"/>
          <w:sz w:val="22"/>
          <w:szCs w:val="22"/>
        </w:rPr>
        <w:t>En síntesis, si bien la visita permitió confirmar la operación general de la red farmacéutica, también evidenció debilidades en la actualización y veracidad de la información reportada por la EPS, así como en la gestión de la continuidad del servicio en puntos específicos. Estas situaciones representan riesgos en la garantía del acceso oportuno a medicamentos y requieren acciones correctivas orientadas a mejorar la calidad de la información, la articulación con los operadores farmacéuticos y la comunicación efectiva con los usuarios.</w:t>
      </w:r>
    </w:p>
    <w:p w14:paraId="65335366" w14:textId="77777777" w:rsidR="007479AA" w:rsidRPr="006068A2" w:rsidRDefault="007479AA" w:rsidP="006068A2">
      <w:pPr>
        <w:shd w:val="clear" w:color="auto" w:fill="FFFFFF"/>
        <w:spacing w:line="360" w:lineRule="auto"/>
        <w:jc w:val="both"/>
        <w:rPr>
          <w:rFonts w:ascii="Arial" w:hAnsi="Arial" w:cs="Arial"/>
          <w:sz w:val="22"/>
          <w:szCs w:val="22"/>
        </w:rPr>
      </w:pPr>
    </w:p>
    <w:p w14:paraId="716B3B22" w14:textId="3540809B" w:rsidR="00571191" w:rsidRPr="001C2986" w:rsidRDefault="00571191" w:rsidP="001C2986">
      <w:pPr>
        <w:pStyle w:val="Ttulo1"/>
        <w:numPr>
          <w:ilvl w:val="0"/>
          <w:numId w:val="9"/>
        </w:numPr>
        <w:spacing w:before="0" w:line="360" w:lineRule="auto"/>
        <w:jc w:val="both"/>
        <w:rPr>
          <w:rFonts w:ascii="Arial" w:hAnsi="Arial" w:cs="Arial"/>
          <w:b/>
          <w:bCs/>
          <w:color w:val="auto"/>
          <w:sz w:val="22"/>
          <w:szCs w:val="22"/>
          <w:lang w:val="es-ES"/>
        </w:rPr>
      </w:pPr>
      <w:bookmarkStart w:id="63" w:name="_Toc229397858"/>
      <w:r w:rsidRPr="001C2986">
        <w:rPr>
          <w:rFonts w:ascii="Arial" w:hAnsi="Arial" w:cs="Arial"/>
          <w:b/>
          <w:bCs/>
          <w:color w:val="auto"/>
          <w:sz w:val="22"/>
          <w:szCs w:val="22"/>
          <w:lang w:val="es-ES"/>
        </w:rPr>
        <w:t>ANÁLISIS FINANCIERO</w:t>
      </w:r>
      <w:r w:rsidR="004C0260" w:rsidRPr="001C2986">
        <w:rPr>
          <w:rFonts w:ascii="Arial" w:hAnsi="Arial" w:cs="Arial"/>
          <w:b/>
          <w:bCs/>
          <w:color w:val="auto"/>
          <w:sz w:val="22"/>
          <w:szCs w:val="22"/>
          <w:lang w:val="es-ES"/>
        </w:rPr>
        <w:t xml:space="preserve"> INFORME </w:t>
      </w:r>
      <w:r w:rsidR="16D3EB00" w:rsidRPr="001C2986">
        <w:rPr>
          <w:rFonts w:ascii="Arial" w:hAnsi="Arial" w:cs="Arial"/>
          <w:b/>
          <w:bCs/>
          <w:color w:val="auto"/>
          <w:sz w:val="22"/>
          <w:szCs w:val="22"/>
          <w:lang w:val="es-ES"/>
        </w:rPr>
        <w:t>COOSALUD</w:t>
      </w:r>
      <w:r w:rsidR="00ED0D40" w:rsidRPr="001C2986">
        <w:rPr>
          <w:rFonts w:ascii="Arial" w:hAnsi="Arial" w:cs="Arial"/>
          <w:b/>
          <w:bCs/>
          <w:color w:val="auto"/>
          <w:sz w:val="22"/>
          <w:szCs w:val="22"/>
        </w:rPr>
        <w:t xml:space="preserve"> EPS</w:t>
      </w:r>
      <w:bookmarkEnd w:id="63"/>
    </w:p>
    <w:p w14:paraId="0FDDDC0B" w14:textId="6CD37AA1" w:rsidR="27918249" w:rsidRDefault="27918249" w:rsidP="006068A2">
      <w:pPr>
        <w:spacing w:line="360" w:lineRule="auto"/>
        <w:jc w:val="both"/>
        <w:rPr>
          <w:rFonts w:ascii="Arial" w:hAnsi="Arial" w:cs="Arial"/>
          <w:sz w:val="22"/>
          <w:szCs w:val="22"/>
          <w:lang w:val="es-ES"/>
        </w:rPr>
      </w:pPr>
    </w:p>
    <w:p w14:paraId="4C20DB0E" w14:textId="77777777" w:rsidR="00C95308" w:rsidRPr="001B1B98" w:rsidRDefault="00C95308" w:rsidP="00C95308">
      <w:pPr>
        <w:shd w:val="clear" w:color="auto" w:fill="FFFFFF"/>
        <w:spacing w:line="360" w:lineRule="auto"/>
        <w:jc w:val="both"/>
        <w:rPr>
          <w:rFonts w:ascii="Arial" w:hAnsi="Arial" w:cs="Arial"/>
          <w:color w:val="000000"/>
          <w:sz w:val="22"/>
          <w:szCs w:val="22"/>
          <w:bdr w:val="none" w:sz="0" w:space="0" w:color="auto" w:frame="1"/>
          <w:lang w:val="es-ES" w:eastAsia="es-ES"/>
        </w:rPr>
      </w:pPr>
      <w:bookmarkStart w:id="64" w:name="_Toc227338978"/>
      <w:r w:rsidRPr="001B1B98">
        <w:rPr>
          <w:rFonts w:ascii="Arial" w:hAnsi="Arial" w:cs="Arial"/>
          <w:color w:val="000000"/>
          <w:sz w:val="22"/>
          <w:szCs w:val="22"/>
          <w:bdr w:val="none" w:sz="0" w:space="0" w:color="auto" w:frame="1"/>
          <w:lang w:val="es-ES" w:eastAsia="es-ES"/>
        </w:rPr>
        <w:t>El presente capítulo desarrolla el análisis financiero de COOSALUD EPS para el periodo 2021–2025, con base en la información contenida en los estados financieros reportados por la entidad y demás fuentes oficiales revisadas para este ejercicio. Las cifras se presentan en millones de pesos y permiten examinar la evolución de los principales componentes de la estructura financiera de la EPS. En este contexto, el análisis tiene como propósito valorar su liquidez, solvencia, nivel de endeudamiento y sostenibilidad financiera, con el fin de identificar riesgos relevantes sobre su capacidad de operación y sobre el cumplimiento de las condiciones financieras exigidas en el marco normativo vigente.</w:t>
      </w:r>
    </w:p>
    <w:p w14:paraId="23809449" w14:textId="77777777" w:rsidR="00C95308" w:rsidRPr="0065010F" w:rsidRDefault="00C95308" w:rsidP="00C95308">
      <w:pPr>
        <w:rPr>
          <w:lang w:val="es-ES"/>
        </w:rPr>
      </w:pPr>
    </w:p>
    <w:p w14:paraId="16C57316" w14:textId="77777777" w:rsidR="00C95308" w:rsidRPr="00C2596A"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65" w:name="_Toc229397859"/>
      <w:r w:rsidRPr="00C2596A">
        <w:rPr>
          <w:rFonts w:ascii="Arial" w:hAnsi="Arial" w:cs="Arial"/>
          <w:b/>
          <w:bCs/>
          <w:color w:val="auto"/>
          <w:sz w:val="22"/>
          <w:szCs w:val="22"/>
        </w:rPr>
        <w:t>Estado de la situación financiera (2021–2025)</w:t>
      </w:r>
      <w:bookmarkEnd w:id="64"/>
      <w:bookmarkEnd w:id="65"/>
    </w:p>
    <w:p w14:paraId="2FDCE02B" w14:textId="77777777" w:rsidR="00C95308" w:rsidRPr="00BB58E7" w:rsidRDefault="00C95308" w:rsidP="00C95308">
      <w:pPr>
        <w:rPr>
          <w:rFonts w:eastAsia="Arial"/>
        </w:rPr>
      </w:pPr>
    </w:p>
    <w:p w14:paraId="4790AEE8" w14:textId="77777777" w:rsidR="00C95308" w:rsidRDefault="00C95308" w:rsidP="00C95308">
      <w:pPr>
        <w:spacing w:line="360" w:lineRule="auto"/>
        <w:jc w:val="both"/>
        <w:rPr>
          <w:rFonts w:ascii="Arial" w:hAnsi="Arial" w:cs="Arial"/>
          <w:sz w:val="22"/>
          <w:szCs w:val="22"/>
          <w:lang w:val="es-ES"/>
        </w:rPr>
      </w:pPr>
      <w:r w:rsidRPr="00EC51A0">
        <w:rPr>
          <w:rFonts w:ascii="Arial" w:hAnsi="Arial" w:cs="Arial"/>
          <w:sz w:val="22"/>
          <w:szCs w:val="22"/>
          <w:lang w:val="es-ES"/>
        </w:rPr>
        <w:t xml:space="preserve">Con el fin de evaluar la evolución de la situación financiera de COOSALUD EPS y contar con elementos objetivos para el análisis de sus condiciones de solvencia y sostenibilidad, a continuación, se presenta el comportamiento de los principales rubros financieros durante </w:t>
      </w:r>
      <w:r w:rsidRPr="00EC51A0">
        <w:rPr>
          <w:rFonts w:ascii="Arial" w:hAnsi="Arial" w:cs="Arial"/>
          <w:sz w:val="22"/>
          <w:szCs w:val="22"/>
          <w:lang w:val="es-ES"/>
        </w:rPr>
        <w:lastRenderedPageBreak/>
        <w:t xml:space="preserve">el periodo 2021–2025. La información permite observar la evolución de los activos, pasivos y patrimonio, así como de los ingresos, gastos y costos asociados a la operación del aseguramiento en salud. En términos generales, la </w:t>
      </w:r>
      <w:r>
        <w:rPr>
          <w:rFonts w:ascii="Arial" w:hAnsi="Arial" w:cs="Arial"/>
          <w:sz w:val="22"/>
          <w:szCs w:val="22"/>
          <w:lang w:val="es-ES"/>
        </w:rPr>
        <w:t xml:space="preserve">siguiente </w:t>
      </w:r>
      <w:r w:rsidRPr="00EC51A0">
        <w:rPr>
          <w:rFonts w:ascii="Arial" w:hAnsi="Arial" w:cs="Arial"/>
          <w:sz w:val="22"/>
          <w:szCs w:val="22"/>
          <w:lang w:val="es-ES"/>
        </w:rPr>
        <w:t>tabla evidencia un incremento importante de los pasivos y de los costos del sistema, una reducción sostenida del disponible y un deterioro progresivo del patrimonio, elementos que constituyen señales relevantes de presión financiera sobre la entidad. Las cifras se presentan en millones de pesos.</w:t>
      </w:r>
    </w:p>
    <w:p w14:paraId="1492D998" w14:textId="77777777" w:rsidR="00C95308" w:rsidRDefault="00C95308" w:rsidP="00C95308">
      <w:pPr>
        <w:spacing w:line="360" w:lineRule="auto"/>
        <w:jc w:val="both"/>
        <w:rPr>
          <w:rFonts w:ascii="Arial" w:hAnsi="Arial" w:cs="Arial"/>
          <w:sz w:val="22"/>
          <w:szCs w:val="22"/>
          <w:lang w:val="es-ES"/>
        </w:rPr>
      </w:pPr>
    </w:p>
    <w:p w14:paraId="60B2517E" w14:textId="77777777" w:rsidR="00C95308" w:rsidRPr="00FA4C3C" w:rsidRDefault="00C95308" w:rsidP="00C95308">
      <w:pPr>
        <w:pStyle w:val="Descripcin"/>
        <w:spacing w:after="0" w:line="360" w:lineRule="auto"/>
        <w:jc w:val="both"/>
        <w:rPr>
          <w:rFonts w:ascii="Arial" w:eastAsia="Arial" w:hAnsi="Arial" w:cs="Arial"/>
          <w:i w:val="0"/>
          <w:iCs w:val="0"/>
          <w:color w:val="000000" w:themeColor="text1"/>
          <w:sz w:val="22"/>
          <w:szCs w:val="22"/>
          <w:lang w:val="es-ES"/>
        </w:rPr>
      </w:pPr>
      <w:bookmarkStart w:id="66" w:name="_Toc229395876"/>
      <w:r w:rsidRPr="00FA4C3C">
        <w:rPr>
          <w:rFonts w:ascii="Arial" w:eastAsia="Arial" w:hAnsi="Arial" w:cs="Arial"/>
          <w:i w:val="0"/>
          <w:iCs w:val="0"/>
          <w:color w:val="000000" w:themeColor="text1"/>
          <w:sz w:val="22"/>
          <w:szCs w:val="22"/>
        </w:rPr>
        <w:t xml:space="preserve">Tabla </w:t>
      </w:r>
      <w:r w:rsidRPr="00FA4C3C">
        <w:rPr>
          <w:rFonts w:ascii="Arial" w:eastAsia="Arial" w:hAnsi="Arial" w:cs="Arial"/>
          <w:i w:val="0"/>
          <w:iCs w:val="0"/>
          <w:color w:val="000000" w:themeColor="text1"/>
          <w:sz w:val="22"/>
          <w:szCs w:val="22"/>
        </w:rPr>
        <w:fldChar w:fldCharType="begin"/>
      </w:r>
      <w:r w:rsidRPr="00FA4C3C">
        <w:rPr>
          <w:rFonts w:ascii="Arial" w:eastAsia="Arial" w:hAnsi="Arial" w:cs="Arial"/>
          <w:i w:val="0"/>
          <w:iCs w:val="0"/>
          <w:color w:val="000000" w:themeColor="text1"/>
          <w:sz w:val="22"/>
          <w:szCs w:val="22"/>
        </w:rPr>
        <w:instrText xml:space="preserve"> SEQ Tabla \* ARABIC </w:instrText>
      </w:r>
      <w:r w:rsidRPr="00FA4C3C">
        <w:rPr>
          <w:rFonts w:ascii="Arial" w:eastAsia="Arial" w:hAnsi="Arial" w:cs="Arial"/>
          <w:i w:val="0"/>
          <w:iCs w:val="0"/>
          <w:color w:val="000000" w:themeColor="text1"/>
          <w:sz w:val="22"/>
          <w:szCs w:val="22"/>
        </w:rPr>
        <w:fldChar w:fldCharType="separate"/>
      </w:r>
      <w:r w:rsidRPr="00FA4C3C">
        <w:rPr>
          <w:rFonts w:ascii="Arial" w:eastAsia="Arial" w:hAnsi="Arial" w:cs="Arial"/>
          <w:i w:val="0"/>
          <w:iCs w:val="0"/>
          <w:noProof/>
          <w:color w:val="000000" w:themeColor="text1"/>
          <w:sz w:val="22"/>
          <w:szCs w:val="22"/>
        </w:rPr>
        <w:t>23</w:t>
      </w:r>
      <w:r w:rsidRPr="00FA4C3C">
        <w:rPr>
          <w:rFonts w:ascii="Arial" w:eastAsia="Arial" w:hAnsi="Arial" w:cs="Arial"/>
          <w:i w:val="0"/>
          <w:iCs w:val="0"/>
          <w:color w:val="000000" w:themeColor="text1"/>
          <w:sz w:val="22"/>
          <w:szCs w:val="22"/>
        </w:rPr>
        <w:fldChar w:fldCharType="end"/>
      </w:r>
      <w:r w:rsidRPr="00FA4C3C">
        <w:rPr>
          <w:rFonts w:ascii="Arial" w:eastAsia="Arial" w:hAnsi="Arial" w:cs="Arial"/>
          <w:i w:val="0"/>
          <w:iCs w:val="0"/>
          <w:color w:val="000000" w:themeColor="text1"/>
          <w:sz w:val="22"/>
          <w:szCs w:val="22"/>
        </w:rPr>
        <w:t>. Estado de Situación Financiera (Cifras en millones pesos colombianos)</w:t>
      </w:r>
      <w:bookmarkEnd w:id="66"/>
    </w:p>
    <w:p w14:paraId="33ED2E3C" w14:textId="77777777" w:rsidR="00C95308" w:rsidRDefault="00C95308" w:rsidP="00C95308">
      <w:pPr>
        <w:spacing w:line="360" w:lineRule="auto"/>
        <w:jc w:val="both"/>
        <w:rPr>
          <w:rFonts w:ascii="Arial" w:eastAsia="Arial" w:hAnsi="Arial" w:cs="Arial"/>
          <w:color w:val="000000" w:themeColor="text1"/>
          <w:sz w:val="18"/>
          <w:szCs w:val="18"/>
        </w:rPr>
      </w:pPr>
    </w:p>
    <w:tbl>
      <w:tblPr>
        <w:tblStyle w:val="Tablaconcuadrcula"/>
        <w:tblW w:w="9640" w:type="dxa"/>
        <w:jc w:val="center"/>
        <w:tblLook w:val="04A0" w:firstRow="1" w:lastRow="0" w:firstColumn="1" w:lastColumn="0" w:noHBand="0" w:noVBand="1"/>
      </w:tblPr>
      <w:tblGrid>
        <w:gridCol w:w="942"/>
        <w:gridCol w:w="1738"/>
        <w:gridCol w:w="1373"/>
        <w:gridCol w:w="1373"/>
        <w:gridCol w:w="1373"/>
        <w:gridCol w:w="1415"/>
        <w:gridCol w:w="1426"/>
      </w:tblGrid>
      <w:tr w:rsidR="00C95308" w:rsidRPr="00EC51A0" w14:paraId="6A21244B" w14:textId="77777777" w:rsidTr="0064323B">
        <w:trPr>
          <w:trHeight w:val="94"/>
          <w:tblHeader/>
          <w:jc w:val="center"/>
        </w:trPr>
        <w:tc>
          <w:tcPr>
            <w:tcW w:w="0" w:type="auto"/>
            <w:vAlign w:val="center"/>
            <w:hideMark/>
          </w:tcPr>
          <w:p w14:paraId="2D137702" w14:textId="77777777" w:rsidR="00C95308" w:rsidRPr="00EC51A0" w:rsidRDefault="00C95308" w:rsidP="0064323B">
            <w:pPr>
              <w:jc w:val="center"/>
              <w:rPr>
                <w:rFonts w:ascii="Arial" w:hAnsi="Arial" w:cs="Arial"/>
                <w:b/>
                <w:bCs/>
                <w:color w:val="000000"/>
                <w:sz w:val="16"/>
                <w:szCs w:val="16"/>
                <w:lang w:eastAsia="es-CO"/>
              </w:rPr>
            </w:pPr>
            <w:r w:rsidRPr="00EC51A0">
              <w:rPr>
                <w:rFonts w:ascii="Arial" w:hAnsi="Arial" w:cs="Arial"/>
                <w:b/>
                <w:bCs/>
                <w:color w:val="000000"/>
                <w:sz w:val="16"/>
                <w:szCs w:val="16"/>
              </w:rPr>
              <w:t>Código concepto</w:t>
            </w:r>
          </w:p>
        </w:tc>
        <w:tc>
          <w:tcPr>
            <w:tcW w:w="0" w:type="auto"/>
            <w:vAlign w:val="center"/>
            <w:hideMark/>
          </w:tcPr>
          <w:p w14:paraId="5EC95EF1"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Denominación</w:t>
            </w:r>
          </w:p>
        </w:tc>
        <w:tc>
          <w:tcPr>
            <w:tcW w:w="0" w:type="auto"/>
            <w:noWrap/>
            <w:vAlign w:val="center"/>
            <w:hideMark/>
          </w:tcPr>
          <w:p w14:paraId="6E4C2DDF"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2021</w:t>
            </w:r>
          </w:p>
        </w:tc>
        <w:tc>
          <w:tcPr>
            <w:tcW w:w="0" w:type="auto"/>
            <w:noWrap/>
            <w:vAlign w:val="center"/>
            <w:hideMark/>
          </w:tcPr>
          <w:p w14:paraId="7B88BA8C"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2022</w:t>
            </w:r>
          </w:p>
        </w:tc>
        <w:tc>
          <w:tcPr>
            <w:tcW w:w="0" w:type="auto"/>
            <w:noWrap/>
            <w:vAlign w:val="center"/>
            <w:hideMark/>
          </w:tcPr>
          <w:p w14:paraId="4769747C"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2023</w:t>
            </w:r>
          </w:p>
        </w:tc>
        <w:tc>
          <w:tcPr>
            <w:tcW w:w="0" w:type="auto"/>
            <w:noWrap/>
            <w:vAlign w:val="center"/>
            <w:hideMark/>
          </w:tcPr>
          <w:p w14:paraId="33A69AFB"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2024</w:t>
            </w:r>
          </w:p>
        </w:tc>
        <w:tc>
          <w:tcPr>
            <w:tcW w:w="0" w:type="auto"/>
            <w:noWrap/>
            <w:vAlign w:val="center"/>
            <w:hideMark/>
          </w:tcPr>
          <w:p w14:paraId="1994522C"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2025</w:t>
            </w:r>
          </w:p>
        </w:tc>
      </w:tr>
      <w:tr w:rsidR="00C95308" w:rsidRPr="00EC51A0" w14:paraId="2ED76F7A" w14:textId="77777777" w:rsidTr="0064323B">
        <w:trPr>
          <w:trHeight w:val="66"/>
          <w:jc w:val="center"/>
        </w:trPr>
        <w:tc>
          <w:tcPr>
            <w:tcW w:w="0" w:type="auto"/>
            <w:noWrap/>
            <w:vAlign w:val="center"/>
            <w:hideMark/>
          </w:tcPr>
          <w:p w14:paraId="147A47EF"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w:t>
            </w:r>
          </w:p>
        </w:tc>
        <w:tc>
          <w:tcPr>
            <w:tcW w:w="0" w:type="auto"/>
            <w:vAlign w:val="center"/>
            <w:hideMark/>
          </w:tcPr>
          <w:p w14:paraId="32266AE0"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ACTIVOS</w:t>
            </w:r>
          </w:p>
        </w:tc>
        <w:tc>
          <w:tcPr>
            <w:tcW w:w="0" w:type="auto"/>
            <w:noWrap/>
            <w:vAlign w:val="center"/>
            <w:hideMark/>
          </w:tcPr>
          <w:p w14:paraId="06DEDF0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$ 1.202.468,098</w:t>
            </w:r>
          </w:p>
        </w:tc>
        <w:tc>
          <w:tcPr>
            <w:tcW w:w="0" w:type="auto"/>
            <w:noWrap/>
            <w:vAlign w:val="center"/>
            <w:hideMark/>
          </w:tcPr>
          <w:p w14:paraId="2F1FE11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$ 1.124.036,218</w:t>
            </w:r>
          </w:p>
        </w:tc>
        <w:tc>
          <w:tcPr>
            <w:tcW w:w="0" w:type="auto"/>
            <w:noWrap/>
            <w:vAlign w:val="center"/>
            <w:hideMark/>
          </w:tcPr>
          <w:p w14:paraId="750B3AB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$ 1.066.681,574</w:t>
            </w:r>
          </w:p>
        </w:tc>
        <w:tc>
          <w:tcPr>
            <w:tcW w:w="0" w:type="auto"/>
            <w:noWrap/>
            <w:vAlign w:val="center"/>
            <w:hideMark/>
          </w:tcPr>
          <w:p w14:paraId="4AD89F5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$ 1.942.170,421</w:t>
            </w:r>
          </w:p>
        </w:tc>
        <w:tc>
          <w:tcPr>
            <w:tcW w:w="0" w:type="auto"/>
            <w:noWrap/>
            <w:vAlign w:val="center"/>
            <w:hideMark/>
          </w:tcPr>
          <w:p w14:paraId="736618E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$ 2.916.073,288</w:t>
            </w:r>
          </w:p>
        </w:tc>
      </w:tr>
      <w:tr w:rsidR="00C95308" w:rsidRPr="00EC51A0" w14:paraId="5E061A9D" w14:textId="77777777" w:rsidTr="0064323B">
        <w:trPr>
          <w:trHeight w:val="94"/>
          <w:jc w:val="center"/>
        </w:trPr>
        <w:tc>
          <w:tcPr>
            <w:tcW w:w="0" w:type="auto"/>
            <w:noWrap/>
            <w:vAlign w:val="center"/>
            <w:hideMark/>
          </w:tcPr>
          <w:p w14:paraId="19DC6F7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11</w:t>
            </w:r>
          </w:p>
        </w:tc>
        <w:tc>
          <w:tcPr>
            <w:tcW w:w="0" w:type="auto"/>
            <w:vAlign w:val="center"/>
            <w:hideMark/>
          </w:tcPr>
          <w:p w14:paraId="38AD0165"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EFECTIVO Y EQUIVALENTES AL EFECTIVO</w:t>
            </w:r>
          </w:p>
        </w:tc>
        <w:tc>
          <w:tcPr>
            <w:tcW w:w="0" w:type="auto"/>
            <w:noWrap/>
            <w:vAlign w:val="center"/>
            <w:hideMark/>
          </w:tcPr>
          <w:p w14:paraId="601B5F6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$ 601.264,130</w:t>
            </w:r>
          </w:p>
        </w:tc>
        <w:tc>
          <w:tcPr>
            <w:tcW w:w="0" w:type="auto"/>
            <w:noWrap/>
            <w:vAlign w:val="center"/>
            <w:hideMark/>
          </w:tcPr>
          <w:p w14:paraId="1526BDF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$ 456.181,595</w:t>
            </w:r>
          </w:p>
        </w:tc>
        <w:tc>
          <w:tcPr>
            <w:tcW w:w="0" w:type="auto"/>
            <w:noWrap/>
            <w:vAlign w:val="center"/>
            <w:hideMark/>
          </w:tcPr>
          <w:p w14:paraId="0A53842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$ 229.341,985</w:t>
            </w:r>
          </w:p>
        </w:tc>
        <w:tc>
          <w:tcPr>
            <w:tcW w:w="0" w:type="auto"/>
            <w:noWrap/>
            <w:vAlign w:val="center"/>
            <w:hideMark/>
          </w:tcPr>
          <w:p w14:paraId="4100AB1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$ 127.202,216</w:t>
            </w:r>
          </w:p>
        </w:tc>
        <w:tc>
          <w:tcPr>
            <w:tcW w:w="0" w:type="auto"/>
            <w:noWrap/>
            <w:vAlign w:val="center"/>
            <w:hideMark/>
          </w:tcPr>
          <w:p w14:paraId="51AFBD8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$ 81.326,144</w:t>
            </w:r>
          </w:p>
        </w:tc>
      </w:tr>
      <w:tr w:rsidR="00C95308" w:rsidRPr="00EC51A0" w14:paraId="4358E62A" w14:textId="77777777" w:rsidTr="0064323B">
        <w:trPr>
          <w:trHeight w:val="66"/>
          <w:jc w:val="center"/>
        </w:trPr>
        <w:tc>
          <w:tcPr>
            <w:tcW w:w="0" w:type="auto"/>
            <w:noWrap/>
            <w:vAlign w:val="center"/>
            <w:hideMark/>
          </w:tcPr>
          <w:p w14:paraId="2B37D293"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13</w:t>
            </w:r>
          </w:p>
        </w:tc>
        <w:tc>
          <w:tcPr>
            <w:tcW w:w="0" w:type="auto"/>
            <w:vAlign w:val="center"/>
            <w:hideMark/>
          </w:tcPr>
          <w:p w14:paraId="17962D91"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CUENTAS POR COBRAR</w:t>
            </w:r>
          </w:p>
        </w:tc>
        <w:tc>
          <w:tcPr>
            <w:tcW w:w="0" w:type="auto"/>
            <w:noWrap/>
            <w:vAlign w:val="center"/>
            <w:hideMark/>
          </w:tcPr>
          <w:p w14:paraId="775ED72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$ 590.799,264</w:t>
            </w:r>
          </w:p>
        </w:tc>
        <w:tc>
          <w:tcPr>
            <w:tcW w:w="0" w:type="auto"/>
            <w:noWrap/>
            <w:vAlign w:val="center"/>
            <w:hideMark/>
          </w:tcPr>
          <w:p w14:paraId="0C72192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$ 608.672,552</w:t>
            </w:r>
          </w:p>
        </w:tc>
        <w:tc>
          <w:tcPr>
            <w:tcW w:w="0" w:type="auto"/>
            <w:noWrap/>
            <w:vAlign w:val="center"/>
            <w:hideMark/>
          </w:tcPr>
          <w:p w14:paraId="103C3A1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$ 748.521,567</w:t>
            </w:r>
          </w:p>
        </w:tc>
        <w:tc>
          <w:tcPr>
            <w:tcW w:w="0" w:type="auto"/>
            <w:noWrap/>
            <w:vAlign w:val="center"/>
            <w:hideMark/>
          </w:tcPr>
          <w:p w14:paraId="718DA2C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$ 1.791.753,925</w:t>
            </w:r>
          </w:p>
        </w:tc>
        <w:tc>
          <w:tcPr>
            <w:tcW w:w="0" w:type="auto"/>
            <w:noWrap/>
            <w:vAlign w:val="center"/>
            <w:hideMark/>
          </w:tcPr>
          <w:p w14:paraId="61A99F8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$ 2.812.755,502</w:t>
            </w:r>
          </w:p>
        </w:tc>
      </w:tr>
      <w:tr w:rsidR="00C95308" w:rsidRPr="00EC51A0" w14:paraId="009F49B6" w14:textId="77777777" w:rsidTr="0064323B">
        <w:trPr>
          <w:trHeight w:val="66"/>
          <w:jc w:val="center"/>
        </w:trPr>
        <w:tc>
          <w:tcPr>
            <w:tcW w:w="0" w:type="auto"/>
            <w:noWrap/>
            <w:vAlign w:val="center"/>
            <w:hideMark/>
          </w:tcPr>
          <w:p w14:paraId="4482ABFB"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15</w:t>
            </w:r>
          </w:p>
        </w:tc>
        <w:tc>
          <w:tcPr>
            <w:tcW w:w="0" w:type="auto"/>
            <w:vAlign w:val="center"/>
            <w:hideMark/>
          </w:tcPr>
          <w:p w14:paraId="640C840A"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PROPIEDAD PLANTA Y EQUIPO</w:t>
            </w:r>
          </w:p>
        </w:tc>
        <w:tc>
          <w:tcPr>
            <w:tcW w:w="0" w:type="auto"/>
            <w:noWrap/>
            <w:vAlign w:val="center"/>
            <w:hideMark/>
          </w:tcPr>
          <w:p w14:paraId="4F3254E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$ 6.720,032</w:t>
            </w:r>
          </w:p>
        </w:tc>
        <w:tc>
          <w:tcPr>
            <w:tcW w:w="0" w:type="auto"/>
            <w:noWrap/>
            <w:vAlign w:val="center"/>
            <w:hideMark/>
          </w:tcPr>
          <w:p w14:paraId="58EF7FD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$ 15.224,050</w:t>
            </w:r>
          </w:p>
        </w:tc>
        <w:tc>
          <w:tcPr>
            <w:tcW w:w="0" w:type="auto"/>
            <w:noWrap/>
            <w:vAlign w:val="center"/>
            <w:hideMark/>
          </w:tcPr>
          <w:p w14:paraId="7707A90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$ 14.272,360</w:t>
            </w:r>
          </w:p>
        </w:tc>
        <w:tc>
          <w:tcPr>
            <w:tcW w:w="0" w:type="auto"/>
            <w:noWrap/>
            <w:vAlign w:val="center"/>
            <w:hideMark/>
          </w:tcPr>
          <w:p w14:paraId="7BED4B0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$ 12.857,988</w:t>
            </w:r>
          </w:p>
        </w:tc>
        <w:tc>
          <w:tcPr>
            <w:tcW w:w="0" w:type="auto"/>
            <w:noWrap/>
            <w:vAlign w:val="center"/>
            <w:hideMark/>
          </w:tcPr>
          <w:p w14:paraId="5964871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$ 9.639,883</w:t>
            </w:r>
          </w:p>
        </w:tc>
      </w:tr>
      <w:tr w:rsidR="00C95308" w:rsidRPr="00EC51A0" w14:paraId="5D6E9120" w14:textId="77777777" w:rsidTr="0064323B">
        <w:trPr>
          <w:trHeight w:val="94"/>
          <w:jc w:val="center"/>
        </w:trPr>
        <w:tc>
          <w:tcPr>
            <w:tcW w:w="0" w:type="auto"/>
            <w:noWrap/>
            <w:vAlign w:val="center"/>
            <w:hideMark/>
          </w:tcPr>
          <w:p w14:paraId="79DB821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17</w:t>
            </w:r>
          </w:p>
        </w:tc>
        <w:tc>
          <w:tcPr>
            <w:tcW w:w="0" w:type="auto"/>
            <w:vAlign w:val="center"/>
            <w:hideMark/>
          </w:tcPr>
          <w:p w14:paraId="751B78CF"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ACTIVOS INTANGIBLES DISTINTOS A LA PLUSVALIA</w:t>
            </w:r>
          </w:p>
        </w:tc>
        <w:tc>
          <w:tcPr>
            <w:tcW w:w="0" w:type="auto"/>
            <w:noWrap/>
            <w:vAlign w:val="center"/>
            <w:hideMark/>
          </w:tcPr>
          <w:p w14:paraId="39F6A6B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4665BA2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47A2580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3A1909A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$ 2.287,800</w:t>
            </w:r>
          </w:p>
        </w:tc>
        <w:tc>
          <w:tcPr>
            <w:tcW w:w="0" w:type="auto"/>
            <w:noWrap/>
            <w:vAlign w:val="center"/>
            <w:hideMark/>
          </w:tcPr>
          <w:p w14:paraId="6D93E2B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$ 4.757,986</w:t>
            </w:r>
          </w:p>
        </w:tc>
      </w:tr>
      <w:tr w:rsidR="00C95308" w:rsidRPr="00EC51A0" w14:paraId="63AB5C4C" w14:textId="77777777" w:rsidTr="0064323B">
        <w:trPr>
          <w:trHeight w:val="66"/>
          <w:jc w:val="center"/>
        </w:trPr>
        <w:tc>
          <w:tcPr>
            <w:tcW w:w="0" w:type="auto"/>
            <w:noWrap/>
            <w:vAlign w:val="center"/>
            <w:hideMark/>
          </w:tcPr>
          <w:p w14:paraId="75C26D6F"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18</w:t>
            </w:r>
          </w:p>
        </w:tc>
        <w:tc>
          <w:tcPr>
            <w:tcW w:w="0" w:type="auto"/>
            <w:vAlign w:val="center"/>
            <w:hideMark/>
          </w:tcPr>
          <w:p w14:paraId="3EED425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OTROS ACTIVOS</w:t>
            </w:r>
          </w:p>
        </w:tc>
        <w:tc>
          <w:tcPr>
            <w:tcW w:w="0" w:type="auto"/>
            <w:noWrap/>
            <w:vAlign w:val="center"/>
            <w:hideMark/>
          </w:tcPr>
          <w:p w14:paraId="2F17101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$ 3.684,672</w:t>
            </w:r>
          </w:p>
        </w:tc>
        <w:tc>
          <w:tcPr>
            <w:tcW w:w="0" w:type="auto"/>
            <w:noWrap/>
            <w:vAlign w:val="center"/>
            <w:hideMark/>
          </w:tcPr>
          <w:p w14:paraId="22D158A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$ 3.958,021</w:t>
            </w:r>
          </w:p>
        </w:tc>
        <w:tc>
          <w:tcPr>
            <w:tcW w:w="0" w:type="auto"/>
            <w:noWrap/>
            <w:vAlign w:val="center"/>
            <w:hideMark/>
          </w:tcPr>
          <w:p w14:paraId="5443337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$ 3.345,662</w:t>
            </w:r>
          </w:p>
        </w:tc>
        <w:tc>
          <w:tcPr>
            <w:tcW w:w="0" w:type="auto"/>
            <w:noWrap/>
            <w:vAlign w:val="center"/>
            <w:hideMark/>
          </w:tcPr>
          <w:p w14:paraId="311A67E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$ 8.068,492</w:t>
            </w:r>
          </w:p>
        </w:tc>
        <w:tc>
          <w:tcPr>
            <w:tcW w:w="0" w:type="auto"/>
            <w:noWrap/>
            <w:vAlign w:val="center"/>
            <w:hideMark/>
          </w:tcPr>
          <w:p w14:paraId="5D10AC3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$ 7.593,774</w:t>
            </w:r>
          </w:p>
        </w:tc>
      </w:tr>
      <w:tr w:rsidR="00C95308" w:rsidRPr="00EC51A0" w14:paraId="26FC54C5" w14:textId="77777777" w:rsidTr="0064323B">
        <w:trPr>
          <w:trHeight w:val="66"/>
          <w:jc w:val="center"/>
        </w:trPr>
        <w:tc>
          <w:tcPr>
            <w:tcW w:w="0" w:type="auto"/>
            <w:noWrap/>
            <w:vAlign w:val="center"/>
            <w:hideMark/>
          </w:tcPr>
          <w:p w14:paraId="4000B0CB"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w:t>
            </w:r>
          </w:p>
        </w:tc>
        <w:tc>
          <w:tcPr>
            <w:tcW w:w="0" w:type="auto"/>
            <w:vAlign w:val="center"/>
            <w:hideMark/>
          </w:tcPr>
          <w:p w14:paraId="758B25C6"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PASIVOS</w:t>
            </w:r>
          </w:p>
        </w:tc>
        <w:tc>
          <w:tcPr>
            <w:tcW w:w="0" w:type="auto"/>
            <w:noWrap/>
            <w:vAlign w:val="center"/>
            <w:hideMark/>
          </w:tcPr>
          <w:p w14:paraId="7635087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$ 902.037,397</w:t>
            </w:r>
          </w:p>
        </w:tc>
        <w:tc>
          <w:tcPr>
            <w:tcW w:w="0" w:type="auto"/>
            <w:noWrap/>
            <w:vAlign w:val="center"/>
            <w:hideMark/>
          </w:tcPr>
          <w:p w14:paraId="6B9216C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$ 793.036,019</w:t>
            </w:r>
          </w:p>
        </w:tc>
        <w:tc>
          <w:tcPr>
            <w:tcW w:w="0" w:type="auto"/>
            <w:noWrap/>
            <w:vAlign w:val="center"/>
            <w:hideMark/>
          </w:tcPr>
          <w:p w14:paraId="5E813CB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$ 843.225,411</w:t>
            </w:r>
          </w:p>
        </w:tc>
        <w:tc>
          <w:tcPr>
            <w:tcW w:w="0" w:type="auto"/>
            <w:noWrap/>
            <w:vAlign w:val="center"/>
            <w:hideMark/>
          </w:tcPr>
          <w:p w14:paraId="1F022F2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$ 2.801.338,388</w:t>
            </w:r>
          </w:p>
        </w:tc>
        <w:tc>
          <w:tcPr>
            <w:tcW w:w="0" w:type="auto"/>
            <w:noWrap/>
            <w:vAlign w:val="center"/>
            <w:hideMark/>
          </w:tcPr>
          <w:p w14:paraId="31D72D9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$ 6.634.186,918</w:t>
            </w:r>
          </w:p>
        </w:tc>
      </w:tr>
      <w:tr w:rsidR="00C95308" w:rsidRPr="00EC51A0" w14:paraId="35D379D9" w14:textId="77777777" w:rsidTr="0064323B">
        <w:trPr>
          <w:trHeight w:val="66"/>
          <w:jc w:val="center"/>
        </w:trPr>
        <w:tc>
          <w:tcPr>
            <w:tcW w:w="0" w:type="auto"/>
            <w:noWrap/>
            <w:vAlign w:val="center"/>
            <w:hideMark/>
          </w:tcPr>
          <w:p w14:paraId="394CC06A"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21</w:t>
            </w:r>
          </w:p>
        </w:tc>
        <w:tc>
          <w:tcPr>
            <w:tcW w:w="0" w:type="auto"/>
            <w:vAlign w:val="center"/>
            <w:hideMark/>
          </w:tcPr>
          <w:p w14:paraId="507E7AD9"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PASIVOS FINANCIEROS</w:t>
            </w:r>
          </w:p>
        </w:tc>
        <w:tc>
          <w:tcPr>
            <w:tcW w:w="0" w:type="auto"/>
            <w:noWrap/>
            <w:vAlign w:val="center"/>
            <w:hideMark/>
          </w:tcPr>
          <w:p w14:paraId="1F3BB69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$ 491.252,600</w:t>
            </w:r>
          </w:p>
        </w:tc>
        <w:tc>
          <w:tcPr>
            <w:tcW w:w="0" w:type="auto"/>
            <w:noWrap/>
            <w:vAlign w:val="center"/>
            <w:hideMark/>
          </w:tcPr>
          <w:p w14:paraId="50D89DF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$ 351.233,477</w:t>
            </w:r>
          </w:p>
        </w:tc>
        <w:tc>
          <w:tcPr>
            <w:tcW w:w="0" w:type="auto"/>
            <w:noWrap/>
            <w:vAlign w:val="center"/>
            <w:hideMark/>
          </w:tcPr>
          <w:p w14:paraId="212FED4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$ 204.659,883</w:t>
            </w:r>
          </w:p>
        </w:tc>
        <w:tc>
          <w:tcPr>
            <w:tcW w:w="0" w:type="auto"/>
            <w:noWrap/>
            <w:vAlign w:val="center"/>
            <w:hideMark/>
          </w:tcPr>
          <w:p w14:paraId="46AECEF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$ 1.079.331,082</w:t>
            </w:r>
          </w:p>
        </w:tc>
        <w:tc>
          <w:tcPr>
            <w:tcW w:w="0" w:type="auto"/>
            <w:noWrap/>
            <w:vAlign w:val="center"/>
            <w:hideMark/>
          </w:tcPr>
          <w:p w14:paraId="3B47354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$ 2.615.848,794</w:t>
            </w:r>
          </w:p>
        </w:tc>
      </w:tr>
      <w:tr w:rsidR="00C95308" w:rsidRPr="00EC51A0" w14:paraId="78404DE6" w14:textId="77777777" w:rsidTr="0064323B">
        <w:trPr>
          <w:trHeight w:val="94"/>
          <w:jc w:val="center"/>
        </w:trPr>
        <w:tc>
          <w:tcPr>
            <w:tcW w:w="0" w:type="auto"/>
            <w:noWrap/>
            <w:vAlign w:val="center"/>
            <w:hideMark/>
          </w:tcPr>
          <w:p w14:paraId="0CF6553F"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22</w:t>
            </w:r>
          </w:p>
        </w:tc>
        <w:tc>
          <w:tcPr>
            <w:tcW w:w="0" w:type="auto"/>
            <w:vAlign w:val="center"/>
            <w:hideMark/>
          </w:tcPr>
          <w:p w14:paraId="61311C7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IMPUESTOS, GRAVAMENES Y TASAS</w:t>
            </w:r>
          </w:p>
        </w:tc>
        <w:tc>
          <w:tcPr>
            <w:tcW w:w="0" w:type="auto"/>
            <w:noWrap/>
            <w:vAlign w:val="center"/>
            <w:hideMark/>
          </w:tcPr>
          <w:p w14:paraId="341CEAA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$ 3.703,653</w:t>
            </w:r>
          </w:p>
        </w:tc>
        <w:tc>
          <w:tcPr>
            <w:tcW w:w="0" w:type="auto"/>
            <w:noWrap/>
            <w:vAlign w:val="center"/>
            <w:hideMark/>
          </w:tcPr>
          <w:p w14:paraId="5461D23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$ 7.903,299</w:t>
            </w:r>
          </w:p>
        </w:tc>
        <w:tc>
          <w:tcPr>
            <w:tcW w:w="0" w:type="auto"/>
            <w:noWrap/>
            <w:vAlign w:val="center"/>
            <w:hideMark/>
          </w:tcPr>
          <w:p w14:paraId="47CA7CD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$ 6.453,466</w:t>
            </w:r>
          </w:p>
        </w:tc>
        <w:tc>
          <w:tcPr>
            <w:tcW w:w="0" w:type="auto"/>
            <w:noWrap/>
            <w:vAlign w:val="center"/>
            <w:hideMark/>
          </w:tcPr>
          <w:p w14:paraId="3E25384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$ 4.239,427</w:t>
            </w:r>
          </w:p>
        </w:tc>
        <w:tc>
          <w:tcPr>
            <w:tcW w:w="0" w:type="auto"/>
            <w:noWrap/>
            <w:vAlign w:val="center"/>
            <w:hideMark/>
          </w:tcPr>
          <w:p w14:paraId="34ECB74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$ 7.626,105</w:t>
            </w:r>
          </w:p>
        </w:tc>
      </w:tr>
      <w:tr w:rsidR="00C95308" w:rsidRPr="00EC51A0" w14:paraId="6356583C" w14:textId="77777777" w:rsidTr="0064323B">
        <w:trPr>
          <w:trHeight w:val="66"/>
          <w:jc w:val="center"/>
        </w:trPr>
        <w:tc>
          <w:tcPr>
            <w:tcW w:w="0" w:type="auto"/>
            <w:noWrap/>
            <w:vAlign w:val="center"/>
            <w:hideMark/>
          </w:tcPr>
          <w:p w14:paraId="55F95D59"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23</w:t>
            </w:r>
          </w:p>
        </w:tc>
        <w:tc>
          <w:tcPr>
            <w:tcW w:w="0" w:type="auto"/>
            <w:vAlign w:val="center"/>
            <w:hideMark/>
          </w:tcPr>
          <w:p w14:paraId="5A7F15A4"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BENEFICIOS A LOS EMPLEADOS</w:t>
            </w:r>
          </w:p>
        </w:tc>
        <w:tc>
          <w:tcPr>
            <w:tcW w:w="0" w:type="auto"/>
            <w:noWrap/>
            <w:vAlign w:val="center"/>
            <w:hideMark/>
          </w:tcPr>
          <w:p w14:paraId="586E2D8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$ 6.466,272</w:t>
            </w:r>
          </w:p>
        </w:tc>
        <w:tc>
          <w:tcPr>
            <w:tcW w:w="0" w:type="auto"/>
            <w:noWrap/>
            <w:vAlign w:val="center"/>
            <w:hideMark/>
          </w:tcPr>
          <w:p w14:paraId="15D4DAE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$ 6.865,505</w:t>
            </w:r>
          </w:p>
        </w:tc>
        <w:tc>
          <w:tcPr>
            <w:tcW w:w="0" w:type="auto"/>
            <w:noWrap/>
            <w:vAlign w:val="center"/>
            <w:hideMark/>
          </w:tcPr>
          <w:p w14:paraId="21DD868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$ 6.915,771</w:t>
            </w:r>
          </w:p>
        </w:tc>
        <w:tc>
          <w:tcPr>
            <w:tcW w:w="0" w:type="auto"/>
            <w:noWrap/>
            <w:vAlign w:val="center"/>
            <w:hideMark/>
          </w:tcPr>
          <w:p w14:paraId="4A7E1FD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$ 6.452,100</w:t>
            </w:r>
          </w:p>
        </w:tc>
        <w:tc>
          <w:tcPr>
            <w:tcW w:w="0" w:type="auto"/>
            <w:noWrap/>
            <w:vAlign w:val="center"/>
            <w:hideMark/>
          </w:tcPr>
          <w:p w14:paraId="6398432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$ 7.720,047</w:t>
            </w:r>
          </w:p>
        </w:tc>
      </w:tr>
      <w:tr w:rsidR="00C95308" w:rsidRPr="00EC51A0" w14:paraId="403B7873" w14:textId="77777777" w:rsidTr="0064323B">
        <w:trPr>
          <w:trHeight w:val="66"/>
          <w:jc w:val="center"/>
        </w:trPr>
        <w:tc>
          <w:tcPr>
            <w:tcW w:w="0" w:type="auto"/>
            <w:noWrap/>
            <w:vAlign w:val="center"/>
            <w:hideMark/>
          </w:tcPr>
          <w:p w14:paraId="0283E0CC"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24</w:t>
            </w:r>
          </w:p>
        </w:tc>
        <w:tc>
          <w:tcPr>
            <w:tcW w:w="0" w:type="auto"/>
            <w:vAlign w:val="center"/>
            <w:hideMark/>
          </w:tcPr>
          <w:p w14:paraId="1853B446"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PROVISIONES</w:t>
            </w:r>
          </w:p>
        </w:tc>
        <w:tc>
          <w:tcPr>
            <w:tcW w:w="0" w:type="auto"/>
            <w:noWrap/>
            <w:vAlign w:val="center"/>
            <w:hideMark/>
          </w:tcPr>
          <w:p w14:paraId="5E37A3D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$ 399.391,777</w:t>
            </w:r>
          </w:p>
        </w:tc>
        <w:tc>
          <w:tcPr>
            <w:tcW w:w="0" w:type="auto"/>
            <w:noWrap/>
            <w:vAlign w:val="center"/>
            <w:hideMark/>
          </w:tcPr>
          <w:p w14:paraId="1794773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$ 424.333,452</w:t>
            </w:r>
          </w:p>
        </w:tc>
        <w:tc>
          <w:tcPr>
            <w:tcW w:w="0" w:type="auto"/>
            <w:noWrap/>
            <w:vAlign w:val="center"/>
            <w:hideMark/>
          </w:tcPr>
          <w:p w14:paraId="35AE8792"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$ 563.031,067</w:t>
            </w:r>
          </w:p>
        </w:tc>
        <w:tc>
          <w:tcPr>
            <w:tcW w:w="0" w:type="auto"/>
            <w:noWrap/>
            <w:vAlign w:val="center"/>
            <w:hideMark/>
          </w:tcPr>
          <w:p w14:paraId="0393B8E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$ 1.708.642,413</w:t>
            </w:r>
          </w:p>
        </w:tc>
        <w:tc>
          <w:tcPr>
            <w:tcW w:w="0" w:type="auto"/>
            <w:noWrap/>
            <w:vAlign w:val="center"/>
            <w:hideMark/>
          </w:tcPr>
          <w:p w14:paraId="5529D0C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$ 3.998.686,388</w:t>
            </w:r>
          </w:p>
        </w:tc>
      </w:tr>
      <w:tr w:rsidR="00C95308" w:rsidRPr="00EC51A0" w14:paraId="736E394D" w14:textId="77777777" w:rsidTr="0064323B">
        <w:trPr>
          <w:trHeight w:val="94"/>
          <w:jc w:val="center"/>
        </w:trPr>
        <w:tc>
          <w:tcPr>
            <w:tcW w:w="0" w:type="auto"/>
            <w:noWrap/>
            <w:vAlign w:val="center"/>
            <w:hideMark/>
          </w:tcPr>
          <w:p w14:paraId="4488ADEB"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25</w:t>
            </w:r>
          </w:p>
        </w:tc>
        <w:tc>
          <w:tcPr>
            <w:tcW w:w="0" w:type="auto"/>
            <w:vAlign w:val="center"/>
            <w:hideMark/>
          </w:tcPr>
          <w:p w14:paraId="4A84D78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OTROS PASIVOS DIFERENTES A INSTRUMENTOS FINANCIEROS</w:t>
            </w:r>
          </w:p>
        </w:tc>
        <w:tc>
          <w:tcPr>
            <w:tcW w:w="0" w:type="auto"/>
            <w:noWrap/>
            <w:vAlign w:val="center"/>
            <w:hideMark/>
          </w:tcPr>
          <w:p w14:paraId="654E2B7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$ 1.223,095</w:t>
            </w:r>
          </w:p>
        </w:tc>
        <w:tc>
          <w:tcPr>
            <w:tcW w:w="0" w:type="auto"/>
            <w:noWrap/>
            <w:vAlign w:val="center"/>
            <w:hideMark/>
          </w:tcPr>
          <w:p w14:paraId="02E7508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$ 2.700,286</w:t>
            </w:r>
          </w:p>
        </w:tc>
        <w:tc>
          <w:tcPr>
            <w:tcW w:w="0" w:type="auto"/>
            <w:noWrap/>
            <w:vAlign w:val="center"/>
            <w:hideMark/>
          </w:tcPr>
          <w:p w14:paraId="7F07FC2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$ 62.165,225</w:t>
            </w:r>
          </w:p>
        </w:tc>
        <w:tc>
          <w:tcPr>
            <w:tcW w:w="0" w:type="auto"/>
            <w:noWrap/>
            <w:vAlign w:val="center"/>
            <w:hideMark/>
          </w:tcPr>
          <w:p w14:paraId="7061C3E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$ 2.673,365</w:t>
            </w:r>
          </w:p>
        </w:tc>
        <w:tc>
          <w:tcPr>
            <w:tcW w:w="0" w:type="auto"/>
            <w:noWrap/>
            <w:vAlign w:val="center"/>
            <w:hideMark/>
          </w:tcPr>
          <w:p w14:paraId="71A5745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$ 4.305,584</w:t>
            </w:r>
          </w:p>
        </w:tc>
      </w:tr>
      <w:tr w:rsidR="00C95308" w:rsidRPr="00EC51A0" w14:paraId="27F342F0" w14:textId="77777777" w:rsidTr="0064323B">
        <w:trPr>
          <w:trHeight w:val="66"/>
          <w:jc w:val="center"/>
        </w:trPr>
        <w:tc>
          <w:tcPr>
            <w:tcW w:w="0" w:type="auto"/>
            <w:noWrap/>
            <w:vAlign w:val="center"/>
            <w:hideMark/>
          </w:tcPr>
          <w:p w14:paraId="6699224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w:t>
            </w:r>
          </w:p>
        </w:tc>
        <w:tc>
          <w:tcPr>
            <w:tcW w:w="0" w:type="auto"/>
            <w:vAlign w:val="center"/>
            <w:hideMark/>
          </w:tcPr>
          <w:p w14:paraId="1BC3E504"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PATRIMONIO</w:t>
            </w:r>
          </w:p>
        </w:tc>
        <w:tc>
          <w:tcPr>
            <w:tcW w:w="0" w:type="auto"/>
            <w:noWrap/>
            <w:vAlign w:val="center"/>
            <w:hideMark/>
          </w:tcPr>
          <w:p w14:paraId="4535964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$ 300.430,701</w:t>
            </w:r>
          </w:p>
        </w:tc>
        <w:tc>
          <w:tcPr>
            <w:tcW w:w="0" w:type="auto"/>
            <w:noWrap/>
            <w:vAlign w:val="center"/>
            <w:hideMark/>
          </w:tcPr>
          <w:p w14:paraId="33D31B1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$ 331.000,199</w:t>
            </w:r>
          </w:p>
        </w:tc>
        <w:tc>
          <w:tcPr>
            <w:tcW w:w="0" w:type="auto"/>
            <w:noWrap/>
            <w:vAlign w:val="center"/>
            <w:hideMark/>
          </w:tcPr>
          <w:p w14:paraId="44C3913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$ 223.456,163</w:t>
            </w:r>
          </w:p>
        </w:tc>
        <w:tc>
          <w:tcPr>
            <w:tcW w:w="0" w:type="auto"/>
            <w:noWrap/>
            <w:vAlign w:val="center"/>
            <w:hideMark/>
          </w:tcPr>
          <w:p w14:paraId="1DA6732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-$ 859.167,967</w:t>
            </w:r>
          </w:p>
        </w:tc>
        <w:tc>
          <w:tcPr>
            <w:tcW w:w="0" w:type="auto"/>
            <w:noWrap/>
            <w:vAlign w:val="center"/>
            <w:hideMark/>
          </w:tcPr>
          <w:p w14:paraId="159C4AE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-$ 3.718.113,630</w:t>
            </w:r>
          </w:p>
        </w:tc>
      </w:tr>
      <w:tr w:rsidR="00C95308" w:rsidRPr="00EC51A0" w14:paraId="64EC6246" w14:textId="77777777" w:rsidTr="0064323B">
        <w:trPr>
          <w:trHeight w:val="94"/>
          <w:jc w:val="center"/>
        </w:trPr>
        <w:tc>
          <w:tcPr>
            <w:tcW w:w="0" w:type="auto"/>
            <w:noWrap/>
            <w:vAlign w:val="center"/>
            <w:hideMark/>
          </w:tcPr>
          <w:p w14:paraId="3A5BA6B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31</w:t>
            </w:r>
          </w:p>
        </w:tc>
        <w:tc>
          <w:tcPr>
            <w:tcW w:w="0" w:type="auto"/>
            <w:vAlign w:val="center"/>
            <w:hideMark/>
          </w:tcPr>
          <w:p w14:paraId="69167BF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PATRIMONIO DE LAS ENTIDADES</w:t>
            </w:r>
          </w:p>
        </w:tc>
        <w:tc>
          <w:tcPr>
            <w:tcW w:w="0" w:type="auto"/>
            <w:noWrap/>
            <w:vAlign w:val="center"/>
            <w:hideMark/>
          </w:tcPr>
          <w:p w14:paraId="1E9D836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$ 29.835,000</w:t>
            </w:r>
          </w:p>
        </w:tc>
        <w:tc>
          <w:tcPr>
            <w:tcW w:w="0" w:type="auto"/>
            <w:noWrap/>
            <w:vAlign w:val="center"/>
            <w:hideMark/>
          </w:tcPr>
          <w:p w14:paraId="1BC6B86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$ 29.835,000</w:t>
            </w:r>
          </w:p>
        </w:tc>
        <w:tc>
          <w:tcPr>
            <w:tcW w:w="0" w:type="auto"/>
            <w:noWrap/>
            <w:vAlign w:val="center"/>
            <w:hideMark/>
          </w:tcPr>
          <w:p w14:paraId="319CDA7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$ 27.450,000</w:t>
            </w:r>
          </w:p>
        </w:tc>
        <w:tc>
          <w:tcPr>
            <w:tcW w:w="0" w:type="auto"/>
            <w:noWrap/>
            <w:vAlign w:val="center"/>
            <w:hideMark/>
          </w:tcPr>
          <w:p w14:paraId="69754CDC"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$ 29.940,000</w:t>
            </w:r>
          </w:p>
        </w:tc>
        <w:tc>
          <w:tcPr>
            <w:tcW w:w="0" w:type="auto"/>
            <w:noWrap/>
            <w:vAlign w:val="center"/>
            <w:hideMark/>
          </w:tcPr>
          <w:p w14:paraId="5412810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$ 29.940,000</w:t>
            </w:r>
          </w:p>
        </w:tc>
      </w:tr>
      <w:tr w:rsidR="00C95308" w:rsidRPr="00EC51A0" w14:paraId="2092FB13" w14:textId="77777777" w:rsidTr="0064323B">
        <w:trPr>
          <w:trHeight w:val="66"/>
          <w:jc w:val="center"/>
        </w:trPr>
        <w:tc>
          <w:tcPr>
            <w:tcW w:w="0" w:type="auto"/>
            <w:noWrap/>
            <w:vAlign w:val="center"/>
            <w:hideMark/>
          </w:tcPr>
          <w:p w14:paraId="5B82FFE1"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32</w:t>
            </w:r>
          </w:p>
        </w:tc>
        <w:tc>
          <w:tcPr>
            <w:tcW w:w="0" w:type="auto"/>
            <w:vAlign w:val="center"/>
            <w:hideMark/>
          </w:tcPr>
          <w:p w14:paraId="4B9F3C85"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SUPERÁVIT DE CAPITAL</w:t>
            </w:r>
          </w:p>
        </w:tc>
        <w:tc>
          <w:tcPr>
            <w:tcW w:w="0" w:type="auto"/>
            <w:noWrap/>
            <w:vAlign w:val="center"/>
            <w:hideMark/>
          </w:tcPr>
          <w:p w14:paraId="36E195B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$ 93.591,561</w:t>
            </w:r>
          </w:p>
        </w:tc>
        <w:tc>
          <w:tcPr>
            <w:tcW w:w="0" w:type="auto"/>
            <w:noWrap/>
            <w:vAlign w:val="center"/>
            <w:hideMark/>
          </w:tcPr>
          <w:p w14:paraId="0739F17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$ 93.591,561</w:t>
            </w:r>
          </w:p>
        </w:tc>
        <w:tc>
          <w:tcPr>
            <w:tcW w:w="0" w:type="auto"/>
            <w:noWrap/>
            <w:vAlign w:val="center"/>
            <w:hideMark/>
          </w:tcPr>
          <w:p w14:paraId="54F217FC"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$ 35.910,574</w:t>
            </w:r>
          </w:p>
        </w:tc>
        <w:tc>
          <w:tcPr>
            <w:tcW w:w="0" w:type="auto"/>
            <w:noWrap/>
            <w:vAlign w:val="center"/>
            <w:hideMark/>
          </w:tcPr>
          <w:p w14:paraId="668EF4A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$ 97.996,612</w:t>
            </w:r>
          </w:p>
        </w:tc>
        <w:tc>
          <w:tcPr>
            <w:tcW w:w="0" w:type="auto"/>
            <w:noWrap/>
            <w:vAlign w:val="center"/>
            <w:hideMark/>
          </w:tcPr>
          <w:p w14:paraId="154C061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$ 97.996,612</w:t>
            </w:r>
          </w:p>
        </w:tc>
      </w:tr>
      <w:tr w:rsidR="00C95308" w:rsidRPr="00EC51A0" w14:paraId="3ACDC223" w14:textId="77777777" w:rsidTr="0064323B">
        <w:trPr>
          <w:trHeight w:val="66"/>
          <w:jc w:val="center"/>
        </w:trPr>
        <w:tc>
          <w:tcPr>
            <w:tcW w:w="0" w:type="auto"/>
            <w:noWrap/>
            <w:vAlign w:val="center"/>
            <w:hideMark/>
          </w:tcPr>
          <w:p w14:paraId="41B6C365"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33</w:t>
            </w:r>
          </w:p>
        </w:tc>
        <w:tc>
          <w:tcPr>
            <w:tcW w:w="0" w:type="auto"/>
            <w:vAlign w:val="center"/>
            <w:hideMark/>
          </w:tcPr>
          <w:p w14:paraId="1B72DC13"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RESERVAS</w:t>
            </w:r>
          </w:p>
        </w:tc>
        <w:tc>
          <w:tcPr>
            <w:tcW w:w="0" w:type="auto"/>
            <w:noWrap/>
            <w:vAlign w:val="center"/>
            <w:hideMark/>
          </w:tcPr>
          <w:p w14:paraId="20718B5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$ 60.312,528</w:t>
            </w:r>
          </w:p>
        </w:tc>
        <w:tc>
          <w:tcPr>
            <w:tcW w:w="0" w:type="auto"/>
            <w:noWrap/>
            <w:vAlign w:val="center"/>
            <w:hideMark/>
          </w:tcPr>
          <w:p w14:paraId="3EFB323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$ 78.427,302</w:t>
            </w:r>
          </w:p>
        </w:tc>
        <w:tc>
          <w:tcPr>
            <w:tcW w:w="0" w:type="auto"/>
            <w:noWrap/>
            <w:vAlign w:val="center"/>
            <w:hideMark/>
          </w:tcPr>
          <w:p w14:paraId="45C1545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$ 188.804,557</w:t>
            </w:r>
          </w:p>
        </w:tc>
        <w:tc>
          <w:tcPr>
            <w:tcW w:w="0" w:type="auto"/>
            <w:noWrap/>
            <w:vAlign w:val="center"/>
            <w:hideMark/>
          </w:tcPr>
          <w:p w14:paraId="24CEA0CC"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$ 154.990,805</w:t>
            </w:r>
          </w:p>
        </w:tc>
        <w:tc>
          <w:tcPr>
            <w:tcW w:w="0" w:type="auto"/>
            <w:noWrap/>
            <w:vAlign w:val="center"/>
            <w:hideMark/>
          </w:tcPr>
          <w:p w14:paraId="25FB753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$ 154.990,805</w:t>
            </w:r>
          </w:p>
        </w:tc>
      </w:tr>
      <w:tr w:rsidR="00C95308" w:rsidRPr="00EC51A0" w14:paraId="3219EBCD" w14:textId="77777777" w:rsidTr="0064323B">
        <w:trPr>
          <w:trHeight w:val="66"/>
          <w:jc w:val="center"/>
        </w:trPr>
        <w:tc>
          <w:tcPr>
            <w:tcW w:w="0" w:type="auto"/>
            <w:noWrap/>
            <w:vAlign w:val="center"/>
            <w:hideMark/>
          </w:tcPr>
          <w:p w14:paraId="029D80C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35</w:t>
            </w:r>
          </w:p>
        </w:tc>
        <w:tc>
          <w:tcPr>
            <w:tcW w:w="0" w:type="auto"/>
            <w:vAlign w:val="center"/>
            <w:hideMark/>
          </w:tcPr>
          <w:p w14:paraId="6F62E1E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RESULTADOS</w:t>
            </w:r>
          </w:p>
        </w:tc>
        <w:tc>
          <w:tcPr>
            <w:tcW w:w="0" w:type="auto"/>
            <w:noWrap/>
            <w:vAlign w:val="center"/>
            <w:hideMark/>
          </w:tcPr>
          <w:p w14:paraId="3F816C4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6323DF6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723E0C5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516C5FF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-$ 1.142.690,116</w:t>
            </w:r>
          </w:p>
        </w:tc>
        <w:tc>
          <w:tcPr>
            <w:tcW w:w="0" w:type="auto"/>
            <w:noWrap/>
            <w:vAlign w:val="center"/>
            <w:hideMark/>
          </w:tcPr>
          <w:p w14:paraId="45AA520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-$ 4.001.635,780</w:t>
            </w:r>
          </w:p>
        </w:tc>
      </w:tr>
      <w:tr w:rsidR="00C95308" w:rsidRPr="00EC51A0" w14:paraId="44DB37CF" w14:textId="77777777" w:rsidTr="0064323B">
        <w:trPr>
          <w:trHeight w:val="66"/>
          <w:jc w:val="center"/>
        </w:trPr>
        <w:tc>
          <w:tcPr>
            <w:tcW w:w="0" w:type="auto"/>
            <w:noWrap/>
            <w:vAlign w:val="center"/>
            <w:hideMark/>
          </w:tcPr>
          <w:p w14:paraId="2777EAB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4</w:t>
            </w:r>
          </w:p>
        </w:tc>
        <w:tc>
          <w:tcPr>
            <w:tcW w:w="0" w:type="auto"/>
            <w:vAlign w:val="center"/>
            <w:hideMark/>
          </w:tcPr>
          <w:p w14:paraId="3E74671E"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INGRESOS</w:t>
            </w:r>
          </w:p>
        </w:tc>
        <w:tc>
          <w:tcPr>
            <w:tcW w:w="0" w:type="auto"/>
            <w:noWrap/>
            <w:vAlign w:val="center"/>
            <w:hideMark/>
          </w:tcPr>
          <w:p w14:paraId="12A4AE5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$ 3.350.128,957</w:t>
            </w:r>
          </w:p>
        </w:tc>
        <w:tc>
          <w:tcPr>
            <w:tcW w:w="0" w:type="auto"/>
            <w:noWrap/>
            <w:vAlign w:val="center"/>
            <w:hideMark/>
          </w:tcPr>
          <w:p w14:paraId="52BFE052"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$ 4.079.289,327</w:t>
            </w:r>
          </w:p>
        </w:tc>
        <w:tc>
          <w:tcPr>
            <w:tcW w:w="0" w:type="auto"/>
            <w:noWrap/>
            <w:vAlign w:val="center"/>
            <w:hideMark/>
          </w:tcPr>
          <w:p w14:paraId="260D788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$ 4.841.487,360</w:t>
            </w:r>
          </w:p>
        </w:tc>
        <w:tc>
          <w:tcPr>
            <w:tcW w:w="0" w:type="auto"/>
            <w:noWrap/>
            <w:vAlign w:val="center"/>
            <w:hideMark/>
          </w:tcPr>
          <w:p w14:paraId="6DD61C4C"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$ 5.380.910,364</w:t>
            </w:r>
          </w:p>
        </w:tc>
        <w:tc>
          <w:tcPr>
            <w:tcW w:w="0" w:type="auto"/>
            <w:noWrap/>
            <w:vAlign w:val="center"/>
            <w:hideMark/>
          </w:tcPr>
          <w:p w14:paraId="4A088B7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$ 5.789.705,651</w:t>
            </w:r>
          </w:p>
        </w:tc>
      </w:tr>
      <w:tr w:rsidR="00C95308" w:rsidRPr="00EC51A0" w14:paraId="49724E33" w14:textId="77777777" w:rsidTr="0064323B">
        <w:trPr>
          <w:trHeight w:val="142"/>
          <w:jc w:val="center"/>
        </w:trPr>
        <w:tc>
          <w:tcPr>
            <w:tcW w:w="0" w:type="auto"/>
            <w:noWrap/>
            <w:vAlign w:val="center"/>
            <w:hideMark/>
          </w:tcPr>
          <w:p w14:paraId="28F8E966"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41</w:t>
            </w:r>
          </w:p>
        </w:tc>
        <w:tc>
          <w:tcPr>
            <w:tcW w:w="0" w:type="auto"/>
            <w:vAlign w:val="center"/>
            <w:hideMark/>
          </w:tcPr>
          <w:p w14:paraId="701EC8CA"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INGRESOS DE ACTIVIDADES ORDINARIAS DE LAS ENTIDADES QUE CONFORMAN EL SGSSS</w:t>
            </w:r>
          </w:p>
        </w:tc>
        <w:tc>
          <w:tcPr>
            <w:tcW w:w="0" w:type="auto"/>
            <w:noWrap/>
            <w:vAlign w:val="center"/>
            <w:hideMark/>
          </w:tcPr>
          <w:p w14:paraId="6809EC4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$ 3.343.099,563</w:t>
            </w:r>
          </w:p>
        </w:tc>
        <w:tc>
          <w:tcPr>
            <w:tcW w:w="0" w:type="auto"/>
            <w:noWrap/>
            <w:vAlign w:val="center"/>
            <w:hideMark/>
          </w:tcPr>
          <w:p w14:paraId="5FBB878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$ 3.983.288,635</w:t>
            </w:r>
          </w:p>
        </w:tc>
        <w:tc>
          <w:tcPr>
            <w:tcW w:w="0" w:type="auto"/>
            <w:noWrap/>
            <w:vAlign w:val="center"/>
            <w:hideMark/>
          </w:tcPr>
          <w:p w14:paraId="384A8D4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$ 4.794.341,330</w:t>
            </w:r>
          </w:p>
        </w:tc>
        <w:tc>
          <w:tcPr>
            <w:tcW w:w="0" w:type="auto"/>
            <w:noWrap/>
            <w:vAlign w:val="center"/>
            <w:hideMark/>
          </w:tcPr>
          <w:p w14:paraId="1F198FD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$ 5.353.791,999</w:t>
            </w:r>
          </w:p>
        </w:tc>
        <w:tc>
          <w:tcPr>
            <w:tcW w:w="0" w:type="auto"/>
            <w:noWrap/>
            <w:vAlign w:val="center"/>
            <w:hideMark/>
          </w:tcPr>
          <w:p w14:paraId="32B0F34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$ 5.751.675,649</w:t>
            </w:r>
          </w:p>
        </w:tc>
      </w:tr>
      <w:tr w:rsidR="00C95308" w:rsidRPr="00EC51A0" w14:paraId="42A7CD16" w14:textId="77777777" w:rsidTr="0064323B">
        <w:trPr>
          <w:trHeight w:val="94"/>
          <w:jc w:val="center"/>
        </w:trPr>
        <w:tc>
          <w:tcPr>
            <w:tcW w:w="0" w:type="auto"/>
            <w:noWrap/>
            <w:vAlign w:val="center"/>
            <w:hideMark/>
          </w:tcPr>
          <w:p w14:paraId="412EDF15"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42</w:t>
            </w:r>
          </w:p>
        </w:tc>
        <w:tc>
          <w:tcPr>
            <w:tcW w:w="0" w:type="auto"/>
            <w:vAlign w:val="center"/>
            <w:hideMark/>
          </w:tcPr>
          <w:p w14:paraId="3E30F954"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OTROS INGRESOS DE OPERACIÓN</w:t>
            </w:r>
          </w:p>
        </w:tc>
        <w:tc>
          <w:tcPr>
            <w:tcW w:w="0" w:type="auto"/>
            <w:noWrap/>
            <w:vAlign w:val="center"/>
            <w:hideMark/>
          </w:tcPr>
          <w:p w14:paraId="77D9D70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$ 7.029,394</w:t>
            </w:r>
          </w:p>
        </w:tc>
        <w:tc>
          <w:tcPr>
            <w:tcW w:w="0" w:type="auto"/>
            <w:noWrap/>
            <w:vAlign w:val="center"/>
            <w:hideMark/>
          </w:tcPr>
          <w:p w14:paraId="7B1B9E6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$ 96.000,692</w:t>
            </w:r>
          </w:p>
        </w:tc>
        <w:tc>
          <w:tcPr>
            <w:tcW w:w="0" w:type="auto"/>
            <w:noWrap/>
            <w:vAlign w:val="center"/>
            <w:hideMark/>
          </w:tcPr>
          <w:p w14:paraId="6D99CF4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$ 47.146,030</w:t>
            </w:r>
          </w:p>
        </w:tc>
        <w:tc>
          <w:tcPr>
            <w:tcW w:w="0" w:type="auto"/>
            <w:noWrap/>
            <w:vAlign w:val="center"/>
            <w:hideMark/>
          </w:tcPr>
          <w:p w14:paraId="40B1D79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$ 27.118,365</w:t>
            </w:r>
          </w:p>
        </w:tc>
        <w:tc>
          <w:tcPr>
            <w:tcW w:w="0" w:type="auto"/>
            <w:noWrap/>
            <w:vAlign w:val="center"/>
            <w:hideMark/>
          </w:tcPr>
          <w:p w14:paraId="01A8C55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$ 38.030,002</w:t>
            </w:r>
          </w:p>
        </w:tc>
      </w:tr>
      <w:tr w:rsidR="00C95308" w:rsidRPr="00EC51A0" w14:paraId="6E7AC65D" w14:textId="77777777" w:rsidTr="0064323B">
        <w:trPr>
          <w:trHeight w:val="66"/>
          <w:jc w:val="center"/>
        </w:trPr>
        <w:tc>
          <w:tcPr>
            <w:tcW w:w="0" w:type="auto"/>
            <w:noWrap/>
            <w:vAlign w:val="center"/>
            <w:hideMark/>
          </w:tcPr>
          <w:p w14:paraId="3A73921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5</w:t>
            </w:r>
          </w:p>
        </w:tc>
        <w:tc>
          <w:tcPr>
            <w:tcW w:w="0" w:type="auto"/>
            <w:vAlign w:val="center"/>
            <w:hideMark/>
          </w:tcPr>
          <w:p w14:paraId="7EB8847F"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GASTOS</w:t>
            </w:r>
          </w:p>
        </w:tc>
        <w:tc>
          <w:tcPr>
            <w:tcW w:w="0" w:type="auto"/>
            <w:noWrap/>
            <w:vAlign w:val="center"/>
            <w:hideMark/>
          </w:tcPr>
          <w:p w14:paraId="07BFFDE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$ 297.887,883</w:t>
            </w:r>
          </w:p>
        </w:tc>
        <w:tc>
          <w:tcPr>
            <w:tcW w:w="0" w:type="auto"/>
            <w:noWrap/>
            <w:vAlign w:val="center"/>
            <w:hideMark/>
          </w:tcPr>
          <w:p w14:paraId="6B7CC48F"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$ 353.330,541</w:t>
            </w:r>
          </w:p>
        </w:tc>
        <w:tc>
          <w:tcPr>
            <w:tcW w:w="0" w:type="auto"/>
            <w:noWrap/>
            <w:vAlign w:val="center"/>
            <w:hideMark/>
          </w:tcPr>
          <w:p w14:paraId="2C8D97E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$ 203.995,126</w:t>
            </w:r>
          </w:p>
        </w:tc>
        <w:tc>
          <w:tcPr>
            <w:tcW w:w="0" w:type="auto"/>
            <w:noWrap/>
            <w:vAlign w:val="center"/>
            <w:hideMark/>
          </w:tcPr>
          <w:p w14:paraId="4F08B5B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-$ 799.470,099</w:t>
            </w:r>
          </w:p>
        </w:tc>
        <w:tc>
          <w:tcPr>
            <w:tcW w:w="0" w:type="auto"/>
            <w:noWrap/>
            <w:vAlign w:val="center"/>
            <w:hideMark/>
          </w:tcPr>
          <w:p w14:paraId="1C2FBD38"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-$ 1.862.415,979</w:t>
            </w:r>
          </w:p>
        </w:tc>
      </w:tr>
      <w:tr w:rsidR="00C95308" w:rsidRPr="00EC51A0" w14:paraId="4631E871" w14:textId="77777777" w:rsidTr="0064323B">
        <w:trPr>
          <w:trHeight w:val="66"/>
          <w:jc w:val="center"/>
        </w:trPr>
        <w:tc>
          <w:tcPr>
            <w:tcW w:w="0" w:type="auto"/>
            <w:noWrap/>
            <w:vAlign w:val="center"/>
            <w:hideMark/>
          </w:tcPr>
          <w:p w14:paraId="7718C063"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lastRenderedPageBreak/>
              <w:t>51</w:t>
            </w:r>
          </w:p>
        </w:tc>
        <w:tc>
          <w:tcPr>
            <w:tcW w:w="0" w:type="auto"/>
            <w:vAlign w:val="center"/>
            <w:hideMark/>
          </w:tcPr>
          <w:p w14:paraId="0B9997AB"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DE ADMINISTRACION</w:t>
            </w:r>
          </w:p>
        </w:tc>
        <w:tc>
          <w:tcPr>
            <w:tcW w:w="0" w:type="auto"/>
            <w:noWrap/>
            <w:vAlign w:val="center"/>
            <w:hideMark/>
          </w:tcPr>
          <w:p w14:paraId="1E5C3EC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$ 158.578,877</w:t>
            </w:r>
          </w:p>
        </w:tc>
        <w:tc>
          <w:tcPr>
            <w:tcW w:w="0" w:type="auto"/>
            <w:noWrap/>
            <w:vAlign w:val="center"/>
            <w:hideMark/>
          </w:tcPr>
          <w:p w14:paraId="53E15952"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$ 194.325,442</w:t>
            </w:r>
          </w:p>
        </w:tc>
        <w:tc>
          <w:tcPr>
            <w:tcW w:w="0" w:type="auto"/>
            <w:noWrap/>
            <w:vAlign w:val="center"/>
            <w:hideMark/>
          </w:tcPr>
          <w:p w14:paraId="072C706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$ 198.662,908</w:t>
            </w:r>
          </w:p>
        </w:tc>
        <w:tc>
          <w:tcPr>
            <w:tcW w:w="0" w:type="auto"/>
            <w:noWrap/>
            <w:vAlign w:val="center"/>
            <w:hideMark/>
          </w:tcPr>
          <w:p w14:paraId="4EE05863"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$ 316.502,098</w:t>
            </w:r>
          </w:p>
        </w:tc>
        <w:tc>
          <w:tcPr>
            <w:tcW w:w="0" w:type="auto"/>
            <w:noWrap/>
            <w:vAlign w:val="center"/>
            <w:hideMark/>
          </w:tcPr>
          <w:p w14:paraId="0FABA05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$ 463.552,554</w:t>
            </w:r>
          </w:p>
        </w:tc>
      </w:tr>
      <w:tr w:rsidR="00C95308" w:rsidRPr="00EC51A0" w14:paraId="37230463" w14:textId="77777777" w:rsidTr="0064323B">
        <w:trPr>
          <w:trHeight w:val="66"/>
          <w:jc w:val="center"/>
        </w:trPr>
        <w:tc>
          <w:tcPr>
            <w:tcW w:w="0" w:type="auto"/>
            <w:noWrap/>
            <w:vAlign w:val="center"/>
            <w:hideMark/>
          </w:tcPr>
          <w:p w14:paraId="03AF068E"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53</w:t>
            </w:r>
          </w:p>
        </w:tc>
        <w:tc>
          <w:tcPr>
            <w:tcW w:w="0" w:type="auto"/>
            <w:vAlign w:val="center"/>
            <w:hideMark/>
          </w:tcPr>
          <w:p w14:paraId="6C9B1E5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FINANCIEROS</w:t>
            </w:r>
          </w:p>
        </w:tc>
        <w:tc>
          <w:tcPr>
            <w:tcW w:w="0" w:type="auto"/>
            <w:noWrap/>
            <w:vAlign w:val="center"/>
            <w:hideMark/>
          </w:tcPr>
          <w:p w14:paraId="15E80EF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$ 17.756,473</w:t>
            </w:r>
          </w:p>
        </w:tc>
        <w:tc>
          <w:tcPr>
            <w:tcW w:w="0" w:type="auto"/>
            <w:noWrap/>
            <w:vAlign w:val="center"/>
            <w:hideMark/>
          </w:tcPr>
          <w:p w14:paraId="0293742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$ 24.906,759</w:t>
            </w:r>
          </w:p>
        </w:tc>
        <w:tc>
          <w:tcPr>
            <w:tcW w:w="0" w:type="auto"/>
            <w:noWrap/>
            <w:vAlign w:val="center"/>
            <w:hideMark/>
          </w:tcPr>
          <w:p w14:paraId="6DDB9BC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$ 33.566,207</w:t>
            </w:r>
          </w:p>
        </w:tc>
        <w:tc>
          <w:tcPr>
            <w:tcW w:w="0" w:type="auto"/>
            <w:noWrap/>
            <w:vAlign w:val="center"/>
            <w:hideMark/>
          </w:tcPr>
          <w:p w14:paraId="1CF460E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$ 26.717,919</w:t>
            </w:r>
          </w:p>
        </w:tc>
        <w:tc>
          <w:tcPr>
            <w:tcW w:w="0" w:type="auto"/>
            <w:noWrap/>
            <w:vAlign w:val="center"/>
            <w:hideMark/>
          </w:tcPr>
          <w:p w14:paraId="6635C06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$ 13.577,736</w:t>
            </w:r>
          </w:p>
        </w:tc>
      </w:tr>
      <w:tr w:rsidR="00C95308" w:rsidRPr="00EC51A0" w14:paraId="313EEE13" w14:textId="77777777" w:rsidTr="0064323B">
        <w:trPr>
          <w:trHeight w:val="66"/>
          <w:jc w:val="center"/>
        </w:trPr>
        <w:tc>
          <w:tcPr>
            <w:tcW w:w="0" w:type="auto"/>
            <w:noWrap/>
            <w:vAlign w:val="center"/>
            <w:hideMark/>
          </w:tcPr>
          <w:p w14:paraId="556C230E"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55</w:t>
            </w:r>
          </w:p>
        </w:tc>
        <w:tc>
          <w:tcPr>
            <w:tcW w:w="0" w:type="auto"/>
            <w:vAlign w:val="center"/>
            <w:hideMark/>
          </w:tcPr>
          <w:p w14:paraId="3089A8C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IMPUESTO A LAS GANANCIAS</w:t>
            </w:r>
          </w:p>
        </w:tc>
        <w:tc>
          <w:tcPr>
            <w:tcW w:w="0" w:type="auto"/>
            <w:noWrap/>
            <w:vAlign w:val="center"/>
            <w:hideMark/>
          </w:tcPr>
          <w:p w14:paraId="2C1D9CB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$ 4.860,922</w:t>
            </w:r>
          </w:p>
        </w:tc>
        <w:tc>
          <w:tcPr>
            <w:tcW w:w="0" w:type="auto"/>
            <w:noWrap/>
            <w:vAlign w:val="center"/>
            <w:hideMark/>
          </w:tcPr>
          <w:p w14:paraId="0711BC9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$ 10.056,787</w:t>
            </w:r>
          </w:p>
        </w:tc>
        <w:tc>
          <w:tcPr>
            <w:tcW w:w="0" w:type="auto"/>
            <w:noWrap/>
            <w:vAlign w:val="center"/>
            <w:hideMark/>
          </w:tcPr>
          <w:p w14:paraId="4E7D0230"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$ 5.579,763</w:t>
            </w:r>
          </w:p>
        </w:tc>
        <w:tc>
          <w:tcPr>
            <w:tcW w:w="0" w:type="auto"/>
            <w:noWrap/>
            <w:vAlign w:val="center"/>
            <w:hideMark/>
          </w:tcPr>
          <w:p w14:paraId="2CC9C5A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53B065D1"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$ 474,718</w:t>
            </w:r>
          </w:p>
        </w:tc>
      </w:tr>
      <w:tr w:rsidR="00C95308" w:rsidRPr="00EC51A0" w14:paraId="4BFE024A" w14:textId="77777777" w:rsidTr="0064323B">
        <w:trPr>
          <w:trHeight w:val="94"/>
          <w:jc w:val="center"/>
        </w:trPr>
        <w:tc>
          <w:tcPr>
            <w:tcW w:w="0" w:type="auto"/>
            <w:noWrap/>
            <w:vAlign w:val="center"/>
            <w:hideMark/>
          </w:tcPr>
          <w:p w14:paraId="56401F0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56</w:t>
            </w:r>
          </w:p>
        </w:tc>
        <w:tc>
          <w:tcPr>
            <w:tcW w:w="0" w:type="auto"/>
            <w:vAlign w:val="center"/>
            <w:hideMark/>
          </w:tcPr>
          <w:p w14:paraId="74F22381"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CIERRE DE INGRESOS, GASTOS Y COSTOS</w:t>
            </w:r>
          </w:p>
        </w:tc>
        <w:tc>
          <w:tcPr>
            <w:tcW w:w="0" w:type="auto"/>
            <w:noWrap/>
            <w:vAlign w:val="center"/>
            <w:hideMark/>
          </w:tcPr>
          <w:p w14:paraId="08490A4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$ 116.691,612</w:t>
            </w:r>
          </w:p>
        </w:tc>
        <w:tc>
          <w:tcPr>
            <w:tcW w:w="0" w:type="auto"/>
            <w:noWrap/>
            <w:vAlign w:val="center"/>
            <w:hideMark/>
          </w:tcPr>
          <w:p w14:paraId="751BBD0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$ 124.041,552</w:t>
            </w:r>
          </w:p>
        </w:tc>
        <w:tc>
          <w:tcPr>
            <w:tcW w:w="0" w:type="auto"/>
            <w:noWrap/>
            <w:vAlign w:val="center"/>
            <w:hideMark/>
          </w:tcPr>
          <w:p w14:paraId="442F85B7"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-$ 33.813,752</w:t>
            </w:r>
          </w:p>
        </w:tc>
        <w:tc>
          <w:tcPr>
            <w:tcW w:w="0" w:type="auto"/>
            <w:noWrap/>
            <w:vAlign w:val="center"/>
            <w:hideMark/>
          </w:tcPr>
          <w:p w14:paraId="6E29A51B"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-$ 1.142.690,116</w:t>
            </w:r>
          </w:p>
        </w:tc>
        <w:tc>
          <w:tcPr>
            <w:tcW w:w="0" w:type="auto"/>
            <w:noWrap/>
            <w:vAlign w:val="center"/>
            <w:hideMark/>
          </w:tcPr>
          <w:p w14:paraId="4EAFDEA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-$ 2.340.020,988</w:t>
            </w:r>
          </w:p>
        </w:tc>
      </w:tr>
      <w:tr w:rsidR="00C95308" w:rsidRPr="00EC51A0" w14:paraId="5AA6F632" w14:textId="77777777" w:rsidTr="0064323B">
        <w:trPr>
          <w:trHeight w:val="142"/>
          <w:jc w:val="center"/>
        </w:trPr>
        <w:tc>
          <w:tcPr>
            <w:tcW w:w="0" w:type="auto"/>
            <w:noWrap/>
            <w:vAlign w:val="center"/>
            <w:hideMark/>
          </w:tcPr>
          <w:p w14:paraId="6AAAA540"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6</w:t>
            </w:r>
          </w:p>
        </w:tc>
        <w:tc>
          <w:tcPr>
            <w:tcW w:w="0" w:type="auto"/>
            <w:vAlign w:val="center"/>
            <w:hideMark/>
          </w:tcPr>
          <w:p w14:paraId="2F927652" w14:textId="77777777" w:rsidR="00C95308" w:rsidRPr="00EC51A0" w:rsidRDefault="00C95308" w:rsidP="0064323B">
            <w:pPr>
              <w:jc w:val="center"/>
              <w:rPr>
                <w:rFonts w:ascii="Arial" w:hAnsi="Arial" w:cs="Arial"/>
                <w:b/>
                <w:bCs/>
                <w:color w:val="000000"/>
                <w:sz w:val="16"/>
                <w:szCs w:val="16"/>
              </w:rPr>
            </w:pPr>
            <w:r w:rsidRPr="00EC51A0">
              <w:rPr>
                <w:rFonts w:ascii="Arial" w:hAnsi="Arial" w:cs="Arial"/>
                <w:b/>
                <w:bCs/>
                <w:color w:val="000000"/>
                <w:sz w:val="16"/>
                <w:szCs w:val="16"/>
              </w:rPr>
              <w:t>TOTAL, COSTOS DEL SISTEMA GENERAL DE SEGURIDAD SOCIAL EN SALUD</w:t>
            </w:r>
          </w:p>
        </w:tc>
        <w:tc>
          <w:tcPr>
            <w:tcW w:w="0" w:type="auto"/>
            <w:noWrap/>
            <w:vAlign w:val="center"/>
            <w:hideMark/>
          </w:tcPr>
          <w:p w14:paraId="20D1FB1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$ 3.052.241,074</w:t>
            </w:r>
          </w:p>
        </w:tc>
        <w:tc>
          <w:tcPr>
            <w:tcW w:w="0" w:type="auto"/>
            <w:noWrap/>
            <w:vAlign w:val="center"/>
            <w:hideMark/>
          </w:tcPr>
          <w:p w14:paraId="329B3A6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$ 3.725.958,786</w:t>
            </w:r>
          </w:p>
        </w:tc>
        <w:tc>
          <w:tcPr>
            <w:tcW w:w="0" w:type="auto"/>
            <w:noWrap/>
            <w:vAlign w:val="center"/>
            <w:hideMark/>
          </w:tcPr>
          <w:p w14:paraId="081CB4C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$ 4.637.492,234</w:t>
            </w:r>
          </w:p>
        </w:tc>
        <w:tc>
          <w:tcPr>
            <w:tcW w:w="0" w:type="auto"/>
            <w:noWrap/>
            <w:vAlign w:val="center"/>
            <w:hideMark/>
          </w:tcPr>
          <w:p w14:paraId="5050CA1A"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$ 6.180.380,463</w:t>
            </w:r>
          </w:p>
        </w:tc>
        <w:tc>
          <w:tcPr>
            <w:tcW w:w="0" w:type="auto"/>
            <w:noWrap/>
            <w:vAlign w:val="center"/>
            <w:hideMark/>
          </w:tcPr>
          <w:p w14:paraId="46663909"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$ 7.652.121,630</w:t>
            </w:r>
          </w:p>
        </w:tc>
      </w:tr>
      <w:tr w:rsidR="00C95308" w:rsidRPr="00EC51A0" w14:paraId="3ECF2007" w14:textId="77777777" w:rsidTr="0064323B">
        <w:trPr>
          <w:trHeight w:val="94"/>
          <w:jc w:val="center"/>
        </w:trPr>
        <w:tc>
          <w:tcPr>
            <w:tcW w:w="0" w:type="auto"/>
            <w:noWrap/>
            <w:vAlign w:val="center"/>
            <w:hideMark/>
          </w:tcPr>
          <w:p w14:paraId="523FB388"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61</w:t>
            </w:r>
          </w:p>
        </w:tc>
        <w:tc>
          <w:tcPr>
            <w:tcW w:w="0" w:type="auto"/>
            <w:vAlign w:val="center"/>
            <w:hideMark/>
          </w:tcPr>
          <w:p w14:paraId="70D73A4D" w14:textId="77777777" w:rsidR="00C95308" w:rsidRPr="00EC51A0" w:rsidRDefault="00C95308" w:rsidP="0064323B">
            <w:pPr>
              <w:jc w:val="center"/>
              <w:rPr>
                <w:rFonts w:ascii="Arial" w:hAnsi="Arial" w:cs="Arial"/>
                <w:color w:val="000000"/>
                <w:sz w:val="16"/>
                <w:szCs w:val="16"/>
              </w:rPr>
            </w:pPr>
            <w:r w:rsidRPr="00EC51A0">
              <w:rPr>
                <w:rFonts w:ascii="Arial" w:hAnsi="Arial" w:cs="Arial"/>
                <w:color w:val="000000"/>
                <w:sz w:val="16"/>
                <w:szCs w:val="16"/>
              </w:rPr>
              <w:t>COSTOS POR ATENCIÓN EN SALUD</w:t>
            </w:r>
          </w:p>
        </w:tc>
        <w:tc>
          <w:tcPr>
            <w:tcW w:w="0" w:type="auto"/>
            <w:noWrap/>
            <w:vAlign w:val="center"/>
            <w:hideMark/>
          </w:tcPr>
          <w:p w14:paraId="0BE48A45"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$ 3.052.241,074</w:t>
            </w:r>
          </w:p>
        </w:tc>
        <w:tc>
          <w:tcPr>
            <w:tcW w:w="0" w:type="auto"/>
            <w:noWrap/>
            <w:vAlign w:val="center"/>
            <w:hideMark/>
          </w:tcPr>
          <w:p w14:paraId="59993AED"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$ 3.725.958,786</w:t>
            </w:r>
          </w:p>
        </w:tc>
        <w:tc>
          <w:tcPr>
            <w:tcW w:w="0" w:type="auto"/>
            <w:noWrap/>
            <w:vAlign w:val="center"/>
            <w:hideMark/>
          </w:tcPr>
          <w:p w14:paraId="66768956"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$ 4.637.492,234</w:t>
            </w:r>
          </w:p>
        </w:tc>
        <w:tc>
          <w:tcPr>
            <w:tcW w:w="0" w:type="auto"/>
            <w:noWrap/>
            <w:vAlign w:val="center"/>
            <w:hideMark/>
          </w:tcPr>
          <w:p w14:paraId="6C7F9004"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$ 6.180.380,463</w:t>
            </w:r>
          </w:p>
        </w:tc>
        <w:tc>
          <w:tcPr>
            <w:tcW w:w="0" w:type="auto"/>
            <w:noWrap/>
            <w:vAlign w:val="center"/>
            <w:hideMark/>
          </w:tcPr>
          <w:p w14:paraId="74C4D93E" w14:textId="77777777" w:rsidR="00C95308" w:rsidRPr="00EC51A0" w:rsidRDefault="00C95308" w:rsidP="0064323B">
            <w:pPr>
              <w:jc w:val="right"/>
              <w:rPr>
                <w:rFonts w:ascii="Arial" w:hAnsi="Arial" w:cs="Arial"/>
                <w:color w:val="000000"/>
                <w:sz w:val="16"/>
                <w:szCs w:val="16"/>
              </w:rPr>
            </w:pPr>
            <w:r w:rsidRPr="00EC51A0">
              <w:rPr>
                <w:rFonts w:ascii="Arial" w:hAnsi="Arial" w:cs="Arial"/>
                <w:color w:val="000000"/>
                <w:sz w:val="16"/>
                <w:szCs w:val="16"/>
              </w:rPr>
              <w:t>$ 7.652.121,630</w:t>
            </w:r>
          </w:p>
        </w:tc>
      </w:tr>
    </w:tbl>
    <w:p w14:paraId="17C34F59" w14:textId="44526C4D" w:rsidR="00C95308" w:rsidRDefault="00EF0CE6" w:rsidP="00EF0CE6">
      <w:pPr>
        <w:spacing w:line="360" w:lineRule="auto"/>
        <w:jc w:val="both"/>
        <w:rPr>
          <w:rFonts w:ascii="Arial" w:eastAsia="Arial" w:hAnsi="Arial" w:cs="Arial"/>
          <w:sz w:val="16"/>
          <w:szCs w:val="16"/>
          <w:lang w:eastAsia="es-CO"/>
        </w:rPr>
      </w:pPr>
      <w:r>
        <w:rPr>
          <w:rFonts w:ascii="Arial" w:eastAsia="Arial" w:hAnsi="Arial" w:cs="Arial"/>
          <w:sz w:val="16"/>
          <w:szCs w:val="16"/>
          <w:lang w:eastAsia="es-CO"/>
        </w:rPr>
        <w:t xml:space="preserve">Fuente: </w:t>
      </w:r>
      <w:r w:rsidRPr="00EF0CE6">
        <w:rPr>
          <w:rFonts w:ascii="Arial" w:eastAsia="Arial" w:hAnsi="Arial" w:cs="Arial"/>
          <w:sz w:val="16"/>
          <w:szCs w:val="16"/>
          <w:lang w:eastAsia="es-CO"/>
        </w:rPr>
        <w:t xml:space="preserve">Catálogo de información financiera EPS del régimen contributivo y subsidiado consolidado a diciembre de 2025, disponible en el portal de Datos Abiertos de la Superintendencia Nacional de Salud: </w:t>
      </w:r>
      <w:hyperlink r:id="rId30" w:history="1">
        <w:r w:rsidRPr="006A5061">
          <w:rPr>
            <w:rStyle w:val="Hipervnculo"/>
            <w:rFonts w:ascii="Arial" w:eastAsia="Arial" w:hAnsi="Arial" w:cs="Arial"/>
            <w:sz w:val="16"/>
            <w:szCs w:val="16"/>
            <w:lang w:eastAsia="es-CO"/>
          </w:rPr>
          <w:t>https://mapas.supersalud.gov.co/arcgisportal/apps/sites/#/datos-abiertos/documents/760d95890d79460da9715b83b9d27933/about</w:t>
        </w:r>
      </w:hyperlink>
      <w:r>
        <w:rPr>
          <w:rFonts w:ascii="Arial" w:eastAsia="Arial" w:hAnsi="Arial" w:cs="Arial"/>
          <w:sz w:val="16"/>
          <w:szCs w:val="16"/>
          <w:lang w:eastAsia="es-CO"/>
        </w:rPr>
        <w:t>.</w:t>
      </w:r>
    </w:p>
    <w:p w14:paraId="78403055" w14:textId="77777777" w:rsidR="00EF0CE6" w:rsidRPr="00EF0CE6" w:rsidRDefault="00EF0CE6" w:rsidP="00EF0CE6">
      <w:pPr>
        <w:spacing w:line="360" w:lineRule="auto"/>
        <w:jc w:val="both"/>
        <w:rPr>
          <w:rFonts w:ascii="Arial" w:eastAsia="Arial" w:hAnsi="Arial" w:cs="Arial"/>
          <w:sz w:val="16"/>
          <w:szCs w:val="16"/>
          <w:lang w:eastAsia="es-CO"/>
        </w:rPr>
      </w:pPr>
    </w:p>
    <w:p w14:paraId="3AC7D4EF" w14:textId="77777777" w:rsidR="00C95308" w:rsidRPr="002B505E" w:rsidRDefault="00C95308" w:rsidP="00C95308">
      <w:pPr>
        <w:spacing w:line="360" w:lineRule="auto"/>
        <w:jc w:val="both"/>
        <w:rPr>
          <w:rFonts w:ascii="Arial" w:eastAsia="Arial" w:hAnsi="Arial" w:cs="Arial"/>
          <w:sz w:val="22"/>
          <w:szCs w:val="22"/>
        </w:rPr>
      </w:pPr>
      <w:r w:rsidRPr="002B505E">
        <w:rPr>
          <w:rFonts w:ascii="Arial" w:eastAsia="Arial" w:hAnsi="Arial" w:cs="Arial"/>
          <w:sz w:val="22"/>
          <w:szCs w:val="22"/>
        </w:rPr>
        <w:t>La información</w:t>
      </w:r>
      <w:r>
        <w:rPr>
          <w:rFonts w:ascii="Arial" w:eastAsia="Arial" w:hAnsi="Arial" w:cs="Arial"/>
          <w:sz w:val="22"/>
          <w:szCs w:val="22"/>
        </w:rPr>
        <w:t xml:space="preserve"> que muestra los estados financieros</w:t>
      </w:r>
      <w:r w:rsidRPr="002B505E">
        <w:rPr>
          <w:rFonts w:ascii="Arial" w:eastAsia="Arial" w:hAnsi="Arial" w:cs="Arial"/>
          <w:sz w:val="22"/>
          <w:szCs w:val="22"/>
        </w:rPr>
        <w:t xml:space="preserve"> de COOSALUD EPS para el periodo 2021–2025 evidencia un deterioro estructural de su posición financiera. Aunque los activos crecieron de $1.202.468,098 millones en 2021 a $2.916.073,288 millones en 2025, este incremento no refleja una mejora en la liquidez ni en la solidez patrimonial, dado que estuvo explicado principalmente por el crecimiento de las cuentas por cobrar, las cuales pasaron de $590.799,264 millones a $2.812.755,502 millones, con un aumento de 376,1%. De hecho, en 2025 este rubro concentró el 96,5% del total del activo, mientras que el efectivo y equivalentes al efectivo descendieron de $601.264,130 millones a $81.326,144 millones, es decir, una reducción de 86,5% frente a 2021. Este comportamiento revela una estructura de activos cada vez menos líquida, con alta dependencia de recursos pendientes de recaudo y menor capacidad inmediata para responder a obligaciones de corto plazo.</w:t>
      </w:r>
    </w:p>
    <w:p w14:paraId="1F40B93B" w14:textId="77777777" w:rsidR="00C95308" w:rsidRPr="002B505E" w:rsidRDefault="00C95308" w:rsidP="00C95308">
      <w:pPr>
        <w:spacing w:line="360" w:lineRule="auto"/>
        <w:jc w:val="both"/>
        <w:rPr>
          <w:rFonts w:ascii="Arial" w:eastAsia="Arial" w:hAnsi="Arial" w:cs="Arial"/>
          <w:sz w:val="22"/>
          <w:szCs w:val="22"/>
        </w:rPr>
      </w:pPr>
    </w:p>
    <w:p w14:paraId="110ECF33" w14:textId="77777777" w:rsidR="00C95308" w:rsidRPr="002B505E" w:rsidRDefault="00C95308" w:rsidP="00C95308">
      <w:pPr>
        <w:spacing w:line="360" w:lineRule="auto"/>
        <w:jc w:val="both"/>
        <w:rPr>
          <w:rFonts w:ascii="Arial" w:eastAsia="Arial" w:hAnsi="Arial" w:cs="Arial"/>
          <w:sz w:val="22"/>
          <w:szCs w:val="22"/>
        </w:rPr>
      </w:pPr>
      <w:r w:rsidRPr="002B505E">
        <w:rPr>
          <w:rFonts w:ascii="Arial" w:eastAsia="Arial" w:hAnsi="Arial" w:cs="Arial"/>
          <w:sz w:val="22"/>
          <w:szCs w:val="22"/>
        </w:rPr>
        <w:t xml:space="preserve">En contraste, los pasivos mostraron un crecimiento mucho más acelerado que los activos, al pasar de $902.037,397 millones en 2021 a $6.634.186,918 millones en 2025, lo que equivale a un incremento de 635,5%. Este aumento estuvo impulsado principalmente por las provisiones, que ascendieron de $399.391,777 millones a $3.998.686,388 millones, y por los pasivos financieros, que crecieron de $491.252,600 millones a $2.615.848,794 millones. Como resultado, la relación entre pasivos y activos se agravó de manera crítica: mientras en 2021 los pasivos representaban el 75,0% del activo, en 2025 alcanzaron el 227,5%, lo que implica que la entidad no solo perdió su capacidad de respaldo patrimonial, </w:t>
      </w:r>
      <w:r w:rsidRPr="002B505E">
        <w:rPr>
          <w:rFonts w:ascii="Arial" w:eastAsia="Arial" w:hAnsi="Arial" w:cs="Arial"/>
          <w:sz w:val="22"/>
          <w:szCs w:val="22"/>
        </w:rPr>
        <w:lastRenderedPageBreak/>
        <w:t>sino que además presenta una situación de sobreendeudamiento. Esta dinámica se refleja en el patrimonio, que pasó de una posición positiva de $300.430,701 millones en 2021 a un saldo negativo de -$3.718.113,630 millones en 2025, profundizado por resultados acumulados negativos de -$4.001.635,780 millones.</w:t>
      </w:r>
    </w:p>
    <w:p w14:paraId="002F84F0" w14:textId="77777777" w:rsidR="00C95308" w:rsidRPr="002B505E" w:rsidRDefault="00C95308" w:rsidP="00C95308">
      <w:pPr>
        <w:spacing w:line="360" w:lineRule="auto"/>
        <w:jc w:val="both"/>
        <w:rPr>
          <w:rFonts w:ascii="Arial" w:eastAsia="Arial" w:hAnsi="Arial" w:cs="Arial"/>
          <w:sz w:val="22"/>
          <w:szCs w:val="22"/>
        </w:rPr>
      </w:pPr>
    </w:p>
    <w:p w14:paraId="3A0BA183" w14:textId="77777777" w:rsidR="00C95308" w:rsidRDefault="00C95308" w:rsidP="00C95308">
      <w:pPr>
        <w:spacing w:line="360" w:lineRule="auto"/>
        <w:jc w:val="both"/>
        <w:rPr>
          <w:rFonts w:ascii="Arial" w:eastAsia="Arial" w:hAnsi="Arial" w:cs="Arial"/>
          <w:sz w:val="22"/>
          <w:szCs w:val="22"/>
        </w:rPr>
      </w:pPr>
      <w:r w:rsidRPr="002B505E">
        <w:rPr>
          <w:rFonts w:ascii="Arial" w:eastAsia="Arial" w:hAnsi="Arial" w:cs="Arial"/>
          <w:sz w:val="22"/>
          <w:szCs w:val="22"/>
        </w:rPr>
        <w:t>Desde la perspectiva operacional, si bien los ingresos aumentaron de $3.350.128,957 millones en 2021 a $5.789.705,651 millones en 2025, con una variación de 72,8%, este crecimiento fue insuficiente frente al comportamiento de los costos del sistema de salud, que pasaron de $3.052.241,074 millones a $7.652.121,630 millones, con un incremento de 150,7%. En consecuencia, el peso de los costos sobre los ingresos se deterioró de manera significativa, pasando de 91,1% en 2021 a 132,2% en 2025, lo que indica que desde 2024 los ingresos ya no resultan suficientes para cubrir los costos de atención en salud. A ello se suma el aumento de los gastos de administración, que crecieron de $158.578,877 millones a $463.552,554 millones, reforzando la presión sobre el resultado financiero. En conjunto, estos elementos muestran que COOSALUD EPS enfrenta un escenario de alta fragilidad financiera, caracterizado por pérdida de liquidez, profundización del déficit patrimonial, incremento acelerado del pasivo y una estructura operacional que compromete seriamente su sostenibilidad.</w:t>
      </w:r>
    </w:p>
    <w:p w14:paraId="6B3FEC84" w14:textId="77777777" w:rsidR="00C95308" w:rsidRDefault="00C95308" w:rsidP="00C95308">
      <w:pPr>
        <w:spacing w:line="360" w:lineRule="auto"/>
        <w:jc w:val="both"/>
        <w:rPr>
          <w:rFonts w:ascii="Arial" w:eastAsia="Arial" w:hAnsi="Arial" w:cs="Arial"/>
          <w:sz w:val="22"/>
          <w:szCs w:val="22"/>
        </w:rPr>
      </w:pPr>
    </w:p>
    <w:p w14:paraId="0E616896" w14:textId="77777777" w:rsidR="00C95308" w:rsidRPr="00BC17F8" w:rsidRDefault="00C95308" w:rsidP="00C95308">
      <w:pPr>
        <w:spacing w:line="360" w:lineRule="auto"/>
        <w:jc w:val="both"/>
        <w:rPr>
          <w:rFonts w:ascii="Arial" w:eastAsia="Arial" w:hAnsi="Arial" w:cs="Arial"/>
          <w:sz w:val="22"/>
          <w:szCs w:val="22"/>
        </w:rPr>
      </w:pPr>
      <w:r w:rsidRPr="00BC17F8">
        <w:rPr>
          <w:rFonts w:ascii="Arial" w:eastAsia="Arial" w:hAnsi="Arial" w:cs="Arial"/>
          <w:sz w:val="22"/>
          <w:szCs w:val="22"/>
        </w:rPr>
        <w:t xml:space="preserve">Ahora bien, con el propósito de ilustrar la evolución de la estructura financiera de COOSALUD EPS durante el periodo 2021–2025, a continuación, se presenta la relación entre el total de activos y el total de pasivos de la entidad. Esta comparación permite identificar de manera clara la capacidad de respaldo financiero de la EPS frente al crecimiento de sus obligaciones y constituye un insumo central para valorar su situación de solvencia. En este sentido, el análisis de la </w:t>
      </w:r>
      <w:r>
        <w:rPr>
          <w:rFonts w:ascii="Arial" w:eastAsia="Arial" w:hAnsi="Arial" w:cs="Arial"/>
          <w:sz w:val="22"/>
          <w:szCs w:val="22"/>
        </w:rPr>
        <w:t xml:space="preserve">siguiente </w:t>
      </w:r>
      <w:r w:rsidRPr="00BC17F8">
        <w:rPr>
          <w:rFonts w:ascii="Arial" w:eastAsia="Arial" w:hAnsi="Arial" w:cs="Arial"/>
          <w:sz w:val="22"/>
          <w:szCs w:val="22"/>
        </w:rPr>
        <w:t>gráfica permite profundizar en la magnitud de este desbalance y en sus implicaciones para la estabilidad financiera de COOSALUD EPS.</w:t>
      </w:r>
    </w:p>
    <w:p w14:paraId="49F5F3DF" w14:textId="77777777" w:rsidR="00C95308" w:rsidRPr="00BC17F8" w:rsidRDefault="00C95308" w:rsidP="00C95308">
      <w:pPr>
        <w:rPr>
          <w:rFonts w:eastAsia="Arial"/>
        </w:rPr>
      </w:pPr>
    </w:p>
    <w:p w14:paraId="7B998062" w14:textId="77777777" w:rsidR="00C95308" w:rsidRPr="00241C29" w:rsidRDefault="00C95308" w:rsidP="00C95308">
      <w:pPr>
        <w:pStyle w:val="Descripcin"/>
        <w:spacing w:after="0" w:line="360" w:lineRule="auto"/>
        <w:jc w:val="both"/>
        <w:rPr>
          <w:rFonts w:ascii="Arial" w:eastAsia="Arial" w:hAnsi="Arial" w:cs="Arial"/>
          <w:i w:val="0"/>
          <w:iCs w:val="0"/>
          <w:sz w:val="22"/>
          <w:szCs w:val="22"/>
          <w:lang w:val="es-ES"/>
        </w:rPr>
      </w:pPr>
      <w:bookmarkStart w:id="67" w:name="_Toc229395923"/>
      <w:r w:rsidRPr="00241C29">
        <w:rPr>
          <w:rFonts w:ascii="Arial" w:eastAsia="Arial" w:hAnsi="Arial" w:cs="Arial"/>
          <w:i w:val="0"/>
          <w:iCs w:val="0"/>
          <w:color w:val="000000" w:themeColor="text1"/>
          <w:sz w:val="22"/>
          <w:szCs w:val="22"/>
        </w:rPr>
        <w:t xml:space="preserve">Ilustración </w:t>
      </w:r>
      <w:r>
        <w:rPr>
          <w:rFonts w:ascii="Arial" w:eastAsia="Arial" w:hAnsi="Arial" w:cs="Arial"/>
          <w:i w:val="0"/>
          <w:iCs w:val="0"/>
          <w:color w:val="000000" w:themeColor="text1"/>
          <w:sz w:val="22"/>
          <w:szCs w:val="22"/>
        </w:rPr>
        <w:fldChar w:fldCharType="begin"/>
      </w:r>
      <w:r>
        <w:rPr>
          <w:rFonts w:ascii="Arial" w:eastAsia="Arial" w:hAnsi="Arial" w:cs="Arial"/>
          <w:i w:val="0"/>
          <w:iCs w:val="0"/>
          <w:color w:val="000000" w:themeColor="text1"/>
          <w:sz w:val="22"/>
          <w:szCs w:val="22"/>
        </w:rPr>
        <w:instrText xml:space="preserve"> SEQ Ilustración \* ARABIC </w:instrText>
      </w:r>
      <w:r>
        <w:rPr>
          <w:rFonts w:ascii="Arial" w:eastAsia="Arial" w:hAnsi="Arial" w:cs="Arial"/>
          <w:i w:val="0"/>
          <w:iCs w:val="0"/>
          <w:color w:val="000000" w:themeColor="text1"/>
          <w:sz w:val="22"/>
          <w:szCs w:val="22"/>
        </w:rPr>
        <w:fldChar w:fldCharType="separate"/>
      </w:r>
      <w:r>
        <w:rPr>
          <w:rFonts w:ascii="Arial" w:eastAsia="Arial" w:hAnsi="Arial" w:cs="Arial"/>
          <w:i w:val="0"/>
          <w:iCs w:val="0"/>
          <w:noProof/>
          <w:color w:val="000000" w:themeColor="text1"/>
          <w:sz w:val="22"/>
          <w:szCs w:val="22"/>
        </w:rPr>
        <w:t>5</w:t>
      </w:r>
      <w:r>
        <w:rPr>
          <w:rFonts w:ascii="Arial" w:eastAsia="Arial" w:hAnsi="Arial" w:cs="Arial"/>
          <w:i w:val="0"/>
          <w:iCs w:val="0"/>
          <w:color w:val="000000" w:themeColor="text1"/>
          <w:sz w:val="22"/>
          <w:szCs w:val="22"/>
        </w:rPr>
        <w:fldChar w:fldCharType="end"/>
      </w:r>
      <w:r w:rsidRPr="00241C29">
        <w:rPr>
          <w:rFonts w:ascii="Arial" w:eastAsia="Arial" w:hAnsi="Arial" w:cs="Arial"/>
          <w:i w:val="0"/>
          <w:iCs w:val="0"/>
          <w:color w:val="000000" w:themeColor="text1"/>
          <w:sz w:val="22"/>
          <w:szCs w:val="22"/>
        </w:rPr>
        <w:t>. Total, de Activos – Pasivos (Cifras en millones de pesos colombianos)</w:t>
      </w:r>
      <w:bookmarkEnd w:id="67"/>
    </w:p>
    <w:p w14:paraId="4ADF2FA7" w14:textId="77777777" w:rsidR="00C95308" w:rsidRDefault="00C95308" w:rsidP="00C95308">
      <w:pPr>
        <w:spacing w:line="360" w:lineRule="auto"/>
        <w:jc w:val="both"/>
        <w:rPr>
          <w:rFonts w:ascii="Arial" w:hAnsi="Arial" w:cs="Arial"/>
          <w:noProof/>
          <w:sz w:val="22"/>
          <w:szCs w:val="22"/>
        </w:rPr>
      </w:pPr>
      <w:r>
        <w:rPr>
          <w:noProof/>
        </w:rPr>
        <w:lastRenderedPageBreak/>
        <w:drawing>
          <wp:inline distT="0" distB="0" distL="0" distR="0" wp14:anchorId="2DF993CB" wp14:editId="5AA7926F">
            <wp:extent cx="5467350" cy="3114675"/>
            <wp:effectExtent l="0" t="0" r="0" b="0"/>
            <wp:docPr id="2" name="Gráfico 2">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6F3403D7" w14:textId="77777777" w:rsidR="00C95308" w:rsidRDefault="00C95308" w:rsidP="00C95308">
      <w:pPr>
        <w:spacing w:line="360" w:lineRule="auto"/>
        <w:jc w:val="both"/>
        <w:rPr>
          <w:rFonts w:ascii="Arial" w:hAnsi="Arial" w:cs="Arial"/>
          <w:noProof/>
          <w:sz w:val="22"/>
          <w:szCs w:val="22"/>
        </w:rPr>
      </w:pPr>
    </w:p>
    <w:p w14:paraId="2059E41C" w14:textId="04D921F0" w:rsidR="00C95308" w:rsidRDefault="00C95308" w:rsidP="00597F5E">
      <w:pPr>
        <w:jc w:val="both"/>
        <w:textAlignment w:val="baseline"/>
        <w:rPr>
          <w:rFonts w:ascii="Arial" w:hAnsi="Arial" w:cs="Arial"/>
          <w:color w:val="000000"/>
          <w:sz w:val="16"/>
          <w:szCs w:val="16"/>
          <w:lang w:eastAsia="es-CO"/>
        </w:rPr>
      </w:pPr>
      <w:r w:rsidRPr="009031ED">
        <w:rPr>
          <w:rFonts w:ascii="Arial" w:hAnsi="Arial" w:cs="Arial"/>
          <w:color w:val="000000"/>
          <w:sz w:val="16"/>
          <w:szCs w:val="16"/>
          <w:lang w:eastAsia="es-CO"/>
        </w:rPr>
        <w:t xml:space="preserve">Fuente: </w:t>
      </w:r>
      <w:r w:rsidR="00597F5E" w:rsidRPr="00597F5E">
        <w:rPr>
          <w:rFonts w:ascii="Arial" w:hAnsi="Arial" w:cs="Arial"/>
          <w:color w:val="000000"/>
          <w:sz w:val="16"/>
          <w:szCs w:val="16"/>
          <w:lang w:eastAsia="es-CO"/>
        </w:rPr>
        <w:t xml:space="preserve">Fuente: Catálogo de información financiera EPS del régimen contributivo y subsidiado consolidado a diciembre de 2025, disponible en el portal de Datos Abiertos de la Superintendencia Nacional de Salud: </w:t>
      </w:r>
      <w:hyperlink r:id="rId32" w:history="1">
        <w:r w:rsidR="00597F5E" w:rsidRPr="006A5061">
          <w:rPr>
            <w:rStyle w:val="Hipervnculo"/>
            <w:rFonts w:ascii="Arial" w:hAnsi="Arial" w:cs="Arial"/>
            <w:sz w:val="16"/>
            <w:szCs w:val="16"/>
            <w:lang w:eastAsia="es-CO"/>
          </w:rPr>
          <w:t>https://mapas.supersalud.gov.co/arcgisportal/apps/sites/#/datos-abiertos/documents/760d95890d79460da9715b83b9d27933/about</w:t>
        </w:r>
      </w:hyperlink>
      <w:r w:rsidR="00597F5E" w:rsidRPr="00597F5E">
        <w:rPr>
          <w:rFonts w:ascii="Arial" w:hAnsi="Arial" w:cs="Arial"/>
          <w:color w:val="000000"/>
          <w:sz w:val="16"/>
          <w:szCs w:val="16"/>
          <w:lang w:eastAsia="es-CO"/>
        </w:rPr>
        <w:t>.</w:t>
      </w:r>
    </w:p>
    <w:p w14:paraId="20CAB7DB" w14:textId="77777777" w:rsidR="00597F5E" w:rsidRDefault="00597F5E" w:rsidP="00597F5E">
      <w:pPr>
        <w:jc w:val="both"/>
        <w:textAlignment w:val="baseline"/>
        <w:rPr>
          <w:rFonts w:ascii="Arial" w:hAnsi="Arial" w:cs="Arial"/>
          <w:noProof/>
          <w:sz w:val="22"/>
          <w:szCs w:val="22"/>
        </w:rPr>
      </w:pPr>
    </w:p>
    <w:p w14:paraId="3390D958" w14:textId="77777777" w:rsidR="00C95308" w:rsidRDefault="00C95308" w:rsidP="00C95308">
      <w:pPr>
        <w:spacing w:line="360" w:lineRule="auto"/>
        <w:jc w:val="both"/>
        <w:rPr>
          <w:rFonts w:ascii="Arial" w:eastAsia="Arial" w:hAnsi="Arial" w:cs="Arial"/>
          <w:sz w:val="22"/>
          <w:szCs w:val="22"/>
        </w:rPr>
      </w:pPr>
      <w:r w:rsidRPr="00BD6047">
        <w:rPr>
          <w:rFonts w:ascii="Arial" w:eastAsia="Arial" w:hAnsi="Arial" w:cs="Arial"/>
          <w:sz w:val="22"/>
          <w:szCs w:val="22"/>
        </w:rPr>
        <w:t>La gráfica</w:t>
      </w:r>
      <w:r>
        <w:rPr>
          <w:rFonts w:ascii="Arial" w:eastAsia="Arial" w:hAnsi="Arial" w:cs="Arial"/>
          <w:sz w:val="22"/>
          <w:szCs w:val="22"/>
        </w:rPr>
        <w:t xml:space="preserve"> anterior,</w:t>
      </w:r>
      <w:r w:rsidRPr="00BD6047">
        <w:rPr>
          <w:rFonts w:ascii="Arial" w:eastAsia="Arial" w:hAnsi="Arial" w:cs="Arial"/>
          <w:sz w:val="22"/>
          <w:szCs w:val="22"/>
        </w:rPr>
        <w:t xml:space="preserve"> evidencia un cambio significativo en la estructura financiera de COOSALUD EPS durante el periodo 2021–2025, particularmente en la relación entre activos y pasivos. Mientras entre 2021 y 2023 ambas variables mostraron niveles relativamente cercanos y con variaciones moderadas, a partir de 2024 se observa un deterioro acelerado, marcado por un crecimiento desproporcionado de los pasivos frente a los activos. </w:t>
      </w:r>
    </w:p>
    <w:p w14:paraId="56EED045" w14:textId="77777777" w:rsidR="00C95308" w:rsidRDefault="00C95308" w:rsidP="00C95308">
      <w:pPr>
        <w:spacing w:line="360" w:lineRule="auto"/>
        <w:jc w:val="both"/>
        <w:rPr>
          <w:rFonts w:ascii="Arial" w:eastAsia="Arial" w:hAnsi="Arial" w:cs="Arial"/>
          <w:sz w:val="22"/>
          <w:szCs w:val="22"/>
        </w:rPr>
      </w:pPr>
    </w:p>
    <w:p w14:paraId="22B8D5F6" w14:textId="77777777" w:rsidR="00C95308" w:rsidRDefault="00C95308" w:rsidP="00C95308">
      <w:pPr>
        <w:spacing w:line="360" w:lineRule="auto"/>
        <w:jc w:val="both"/>
        <w:rPr>
          <w:rFonts w:ascii="Arial" w:eastAsia="Arial" w:hAnsi="Arial" w:cs="Arial"/>
          <w:sz w:val="22"/>
          <w:szCs w:val="22"/>
        </w:rPr>
      </w:pPr>
      <w:r w:rsidRPr="00482AEF">
        <w:rPr>
          <w:rFonts w:ascii="Arial" w:eastAsia="Arial" w:hAnsi="Arial" w:cs="Arial"/>
          <w:sz w:val="22"/>
          <w:szCs w:val="22"/>
        </w:rPr>
        <w:t xml:space="preserve">En efecto, los activos de COOSALUD EPS pasaron de $1.202.468 millones en 2021 a $2.916.073 millones en 2025, lo que representa un aumento de 142,5%; sin embargo, este crecimiento no se traduce en una mayor fortaleza financiera ni en una mejora de la liquidez, dado que se explica principalmente por el incremento acelerado de las cuentas por cobrar, y no por una mayor disponibilidad de recursos líquidos. En contraste, el efectivo y equivalentes al efectivo se redujeron de manera sostenida en el mismo periodo, lo que evidencia una menor capacidad de respuesta inmediata frente a las obligaciones corrientes. A su vez, los pasivos crecieron de $902.037 millones a $6.634.187 millones, con una variación de 635,5%, superando ampliamente el crecimiento de los activos. Esta </w:t>
      </w:r>
      <w:r w:rsidRPr="00482AEF">
        <w:rPr>
          <w:rFonts w:ascii="Arial" w:eastAsia="Arial" w:hAnsi="Arial" w:cs="Arial"/>
          <w:sz w:val="22"/>
          <w:szCs w:val="22"/>
        </w:rPr>
        <w:lastRenderedPageBreak/>
        <w:t>divergencia se torna crítica desde 2024, cuando los pasivos exceden de forma significativa el valor de los activos, profundizando una situación de desequilibrio financiero y comprometiendo la solvencia de la entidad. En este sentido, la gráfica no refleja un fortalecimiento patrimonial, sino un deterioro creciente de la sostenibilidad financiera de la EPS, en la medida en que el aumento de las obligaciones supera de forma sustancial la capacidad real de respaldo de sus activos</w:t>
      </w:r>
      <w:r>
        <w:rPr>
          <w:rFonts w:ascii="Arial" w:eastAsia="Arial" w:hAnsi="Arial" w:cs="Arial"/>
          <w:sz w:val="22"/>
          <w:szCs w:val="22"/>
        </w:rPr>
        <w:t>.</w:t>
      </w:r>
    </w:p>
    <w:p w14:paraId="27F5119D" w14:textId="77777777" w:rsidR="00C95308" w:rsidRDefault="00C95308" w:rsidP="00C95308">
      <w:pPr>
        <w:spacing w:line="360" w:lineRule="auto"/>
        <w:jc w:val="both"/>
        <w:rPr>
          <w:rFonts w:ascii="Arial" w:eastAsia="Arial" w:hAnsi="Arial" w:cs="Arial"/>
          <w:sz w:val="22"/>
          <w:szCs w:val="22"/>
        </w:rPr>
      </w:pPr>
    </w:p>
    <w:p w14:paraId="7FB1864E" w14:textId="77777777" w:rsidR="00C95308" w:rsidRPr="00044ABC" w:rsidRDefault="00C95308" w:rsidP="00C95308">
      <w:pPr>
        <w:spacing w:line="360" w:lineRule="auto"/>
        <w:jc w:val="both"/>
        <w:rPr>
          <w:rFonts w:ascii="Arial" w:eastAsia="Arial" w:hAnsi="Arial" w:cs="Arial"/>
          <w:sz w:val="22"/>
          <w:szCs w:val="22"/>
        </w:rPr>
      </w:pPr>
      <w:r w:rsidRPr="00044ABC">
        <w:rPr>
          <w:rFonts w:ascii="Arial" w:eastAsia="Arial" w:hAnsi="Arial" w:cs="Arial"/>
          <w:sz w:val="22"/>
          <w:szCs w:val="22"/>
        </w:rPr>
        <w:t>Sumado a lo anterior, la liquidez constituye uno de los componentes más sensibles del análisis financiero de COOSALUD EPS, en la medida en que refleja la capacidad inmediata de la entidad para atender sus obligaciones corrientes y sostener el flujo operativo requerido para garantizar la prestación de servicios de salud. En este sentido, la evolución del efectivo y sus equivalentes adquiere especial relevancia, ya que permite valorar la disponibilidad real de recursos líquidos para responder oportunamente a compromisos con la red prestadora, proveedores y demás acreedores asociados a la operación.</w:t>
      </w:r>
    </w:p>
    <w:p w14:paraId="587A491C" w14:textId="77777777" w:rsidR="00C95308" w:rsidRPr="00044ABC" w:rsidRDefault="00C95308" w:rsidP="00C95308">
      <w:pPr>
        <w:spacing w:line="360" w:lineRule="auto"/>
        <w:jc w:val="both"/>
        <w:rPr>
          <w:rFonts w:ascii="Arial" w:eastAsia="Arial" w:hAnsi="Arial" w:cs="Arial"/>
          <w:sz w:val="22"/>
          <w:szCs w:val="22"/>
        </w:rPr>
      </w:pPr>
    </w:p>
    <w:p w14:paraId="66538ADD" w14:textId="77777777" w:rsidR="00C95308" w:rsidRPr="00044ABC" w:rsidRDefault="00C95308" w:rsidP="00C95308">
      <w:pPr>
        <w:spacing w:line="360" w:lineRule="auto"/>
        <w:jc w:val="both"/>
        <w:rPr>
          <w:rFonts w:ascii="Arial" w:eastAsia="Arial" w:hAnsi="Arial" w:cs="Arial"/>
          <w:sz w:val="22"/>
          <w:szCs w:val="22"/>
        </w:rPr>
      </w:pPr>
      <w:r w:rsidRPr="00044ABC">
        <w:rPr>
          <w:rFonts w:ascii="Arial" w:eastAsia="Arial" w:hAnsi="Arial" w:cs="Arial"/>
          <w:sz w:val="22"/>
          <w:szCs w:val="22"/>
        </w:rPr>
        <w:t>Durante el periodo 2021–2025, COOSALUD EPS presentó una reducción sostenida y pronunciada en el rubro de efectivo y equivalentes al efectivo, que pasó de $601.264 millones en 2021 a $81.326 millones en 2025, lo que representa una disminución de 86,5%. Este comportamiento evidencia un deterioro importante de la liquidez inmediata de la entidad y contrasta con el crecimiento del activo total, el cual estuvo explicado principalmente por el incremento de las cuentas por cobrar y no por una mayor disponibilidad de recursos líquidos. En consecuencia, aunque el balance muestra aumento de activos, la capacidad real de respuesta financiera de corto plazo se debilitó de manera significativa.</w:t>
      </w:r>
    </w:p>
    <w:p w14:paraId="2E033C5E" w14:textId="77777777" w:rsidR="00C95308" w:rsidRPr="00044ABC" w:rsidRDefault="00C95308" w:rsidP="00C95308">
      <w:pPr>
        <w:spacing w:line="360" w:lineRule="auto"/>
        <w:jc w:val="both"/>
        <w:rPr>
          <w:rFonts w:ascii="Arial" w:eastAsia="Arial" w:hAnsi="Arial" w:cs="Arial"/>
          <w:sz w:val="22"/>
          <w:szCs w:val="22"/>
        </w:rPr>
      </w:pPr>
    </w:p>
    <w:p w14:paraId="4D2FB432" w14:textId="77777777" w:rsidR="00C95308" w:rsidRPr="00044ABC" w:rsidRDefault="00C95308" w:rsidP="00C95308">
      <w:pPr>
        <w:spacing w:line="360" w:lineRule="auto"/>
        <w:jc w:val="both"/>
        <w:rPr>
          <w:rFonts w:ascii="Arial" w:eastAsia="Arial" w:hAnsi="Arial" w:cs="Arial"/>
          <w:sz w:val="22"/>
          <w:szCs w:val="22"/>
        </w:rPr>
      </w:pPr>
      <w:r w:rsidRPr="00044ABC">
        <w:rPr>
          <w:rFonts w:ascii="Arial" w:eastAsia="Arial" w:hAnsi="Arial" w:cs="Arial"/>
          <w:sz w:val="22"/>
          <w:szCs w:val="22"/>
        </w:rPr>
        <w:t>Desde una perspectiva operativa, esta reducción del disponible constituye una señal de alerta, en tanto limita la capacidad de la EPS para atender oportunamente pagos corrientes, incrementa la presión sobre el flujo de caja y puede profundizar el riesgo de retrasos en el giro de recursos hacia la red prestadora. En el marco del aseguramiento, la pérdida de liquidez no solo expresa una dificultad financiera, sino que también puede traducirse en mayores tensiones con las IPS, restricciones en la prestación de servicios y afectación en la continuidad de la atención de la población afiliada.</w:t>
      </w:r>
    </w:p>
    <w:p w14:paraId="3A20B808" w14:textId="77777777" w:rsidR="00C95308" w:rsidRPr="00E7374C" w:rsidRDefault="00C95308" w:rsidP="00C95308">
      <w:pPr>
        <w:spacing w:line="360" w:lineRule="auto"/>
        <w:jc w:val="both"/>
        <w:rPr>
          <w:rFonts w:ascii="Arial" w:hAnsi="Arial" w:cs="Arial"/>
          <w:sz w:val="22"/>
          <w:szCs w:val="22"/>
        </w:rPr>
      </w:pPr>
    </w:p>
    <w:p w14:paraId="1440EAE4" w14:textId="77777777" w:rsidR="00C95308" w:rsidRPr="00C2596A"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68" w:name="_Toc229397860"/>
      <w:r>
        <w:rPr>
          <w:rFonts w:ascii="Arial" w:hAnsi="Arial" w:cs="Arial"/>
          <w:b/>
          <w:bCs/>
          <w:color w:val="auto"/>
          <w:sz w:val="22"/>
          <w:szCs w:val="22"/>
        </w:rPr>
        <w:lastRenderedPageBreak/>
        <w:t>Cuentas por pagar</w:t>
      </w:r>
      <w:r>
        <w:rPr>
          <w:rStyle w:val="Refdenotaalpie"/>
          <w:rFonts w:ascii="Arial" w:hAnsi="Arial" w:cs="Arial"/>
          <w:b/>
          <w:bCs/>
          <w:color w:val="auto"/>
          <w:sz w:val="22"/>
          <w:szCs w:val="22"/>
        </w:rPr>
        <w:footnoteReference w:id="11"/>
      </w:r>
      <w:r>
        <w:rPr>
          <w:rFonts w:ascii="Arial" w:hAnsi="Arial" w:cs="Arial"/>
          <w:b/>
          <w:bCs/>
          <w:color w:val="auto"/>
          <w:sz w:val="22"/>
          <w:szCs w:val="22"/>
        </w:rPr>
        <w:t xml:space="preserve"> </w:t>
      </w:r>
      <w:r w:rsidRPr="00C2596A">
        <w:rPr>
          <w:rFonts w:ascii="Arial" w:hAnsi="Arial" w:cs="Arial"/>
          <w:b/>
          <w:bCs/>
          <w:color w:val="auto"/>
          <w:sz w:val="22"/>
          <w:szCs w:val="22"/>
        </w:rPr>
        <w:t>(2021–2025)</w:t>
      </w:r>
      <w:bookmarkEnd w:id="68"/>
    </w:p>
    <w:p w14:paraId="197FFA75" w14:textId="77777777" w:rsidR="00C95308" w:rsidRDefault="00C95308" w:rsidP="00C95308">
      <w:pPr>
        <w:spacing w:line="360" w:lineRule="auto"/>
        <w:jc w:val="both"/>
        <w:rPr>
          <w:rFonts w:ascii="Arial" w:eastAsia="Arial" w:hAnsi="Arial" w:cs="Arial"/>
          <w:sz w:val="22"/>
          <w:szCs w:val="22"/>
        </w:rPr>
      </w:pPr>
    </w:p>
    <w:p w14:paraId="5DB814DF" w14:textId="77777777" w:rsidR="00C95308" w:rsidRDefault="00C95308" w:rsidP="00C95308">
      <w:pPr>
        <w:spacing w:line="360" w:lineRule="auto"/>
        <w:jc w:val="both"/>
        <w:rPr>
          <w:rFonts w:ascii="Arial" w:eastAsia="Arial" w:hAnsi="Arial" w:cs="Arial"/>
          <w:sz w:val="22"/>
          <w:szCs w:val="22"/>
        </w:rPr>
      </w:pPr>
      <w:r w:rsidRPr="008D1130">
        <w:rPr>
          <w:rFonts w:ascii="Arial" w:eastAsia="Arial" w:hAnsi="Arial" w:cs="Arial"/>
          <w:sz w:val="22"/>
          <w:szCs w:val="22"/>
        </w:rPr>
        <w:t>Con el propósito de evaluar el comportamiento de las obligaciones corrientes de COOSALUD EPS y su incidencia sobre la liquidez y la sostenibilidad financiera de la entidad</w:t>
      </w:r>
      <w:r>
        <w:rPr>
          <w:rFonts w:ascii="Arial" w:eastAsia="Arial" w:hAnsi="Arial" w:cs="Arial"/>
          <w:sz w:val="22"/>
          <w:szCs w:val="22"/>
        </w:rPr>
        <w:t>.</w:t>
      </w:r>
      <w:r w:rsidRPr="008D1130">
        <w:rPr>
          <w:rFonts w:ascii="Arial" w:eastAsia="Arial" w:hAnsi="Arial" w:cs="Arial"/>
          <w:sz w:val="22"/>
          <w:szCs w:val="22"/>
        </w:rPr>
        <w:t xml:space="preserve"> </w:t>
      </w:r>
      <w:r>
        <w:rPr>
          <w:rFonts w:ascii="Arial" w:eastAsia="Arial" w:hAnsi="Arial" w:cs="Arial"/>
          <w:sz w:val="22"/>
          <w:szCs w:val="22"/>
        </w:rPr>
        <w:t>A</w:t>
      </w:r>
      <w:r w:rsidRPr="008D1130">
        <w:rPr>
          <w:rFonts w:ascii="Arial" w:eastAsia="Arial" w:hAnsi="Arial" w:cs="Arial"/>
          <w:sz w:val="22"/>
          <w:szCs w:val="22"/>
        </w:rPr>
        <w:t xml:space="preserve"> continuación</w:t>
      </w:r>
      <w:r>
        <w:rPr>
          <w:rFonts w:ascii="Arial" w:eastAsia="Arial" w:hAnsi="Arial" w:cs="Arial"/>
          <w:sz w:val="22"/>
          <w:szCs w:val="22"/>
        </w:rPr>
        <w:t xml:space="preserve">, </w:t>
      </w:r>
      <w:r w:rsidRPr="008D1130">
        <w:rPr>
          <w:rFonts w:ascii="Arial" w:eastAsia="Arial" w:hAnsi="Arial" w:cs="Arial"/>
          <w:sz w:val="22"/>
          <w:szCs w:val="22"/>
        </w:rPr>
        <w:t xml:space="preserve">se presenta la evolución de las cuentas por pagar durante el periodo 2021–2025. </w:t>
      </w:r>
    </w:p>
    <w:p w14:paraId="7A059BF4" w14:textId="77777777" w:rsidR="00C95308" w:rsidRDefault="00C95308" w:rsidP="00C95308">
      <w:pPr>
        <w:spacing w:line="360" w:lineRule="auto"/>
        <w:jc w:val="both"/>
        <w:rPr>
          <w:rFonts w:ascii="Arial" w:eastAsia="Arial" w:hAnsi="Arial" w:cs="Arial"/>
          <w:sz w:val="22"/>
          <w:szCs w:val="22"/>
        </w:rPr>
      </w:pPr>
    </w:p>
    <w:p w14:paraId="5A1B84CF" w14:textId="55E438FB" w:rsidR="00C95308" w:rsidRDefault="00C95308" w:rsidP="006D51DB">
      <w:pPr>
        <w:spacing w:line="360" w:lineRule="auto"/>
        <w:jc w:val="both"/>
        <w:rPr>
          <w:rFonts w:eastAsia="Arial"/>
        </w:rPr>
      </w:pPr>
      <w:r w:rsidRPr="008D1130">
        <w:rPr>
          <w:rFonts w:ascii="Arial" w:eastAsia="Arial" w:hAnsi="Arial" w:cs="Arial"/>
          <w:sz w:val="22"/>
          <w:szCs w:val="22"/>
        </w:rPr>
        <w:t>Este análisis permite identificar la magnitud de los compromisos acumulados asociados a la operación de la EPS, así como los cambios más relevantes en su tendencia a lo largo del periodo observado. En términos generales, la información evidencia una reducción de este rubro entre 2021 y 2023, seguida de un incremento abrupto y sostenido en 2024 y 2025, lo cual constituye una señal de presión creciente sobre la capacidad de pago de la entidad.</w:t>
      </w:r>
    </w:p>
    <w:p w14:paraId="6CC2F01C" w14:textId="77777777" w:rsidR="00C95308" w:rsidRPr="00587F52" w:rsidRDefault="00C95308" w:rsidP="00C95308">
      <w:pPr>
        <w:rPr>
          <w:rFonts w:eastAsia="Arial"/>
        </w:rPr>
      </w:pPr>
    </w:p>
    <w:p w14:paraId="0D824621" w14:textId="77777777" w:rsidR="00C95308" w:rsidRPr="00241C29" w:rsidRDefault="00C95308" w:rsidP="00C95308">
      <w:pPr>
        <w:pStyle w:val="Descripcin"/>
        <w:spacing w:after="0" w:line="360" w:lineRule="auto"/>
        <w:jc w:val="center"/>
        <w:rPr>
          <w:rFonts w:ascii="Arial" w:eastAsia="Arial" w:hAnsi="Arial" w:cs="Arial"/>
          <w:i w:val="0"/>
          <w:iCs w:val="0"/>
          <w:color w:val="000000" w:themeColor="text1"/>
          <w:sz w:val="22"/>
          <w:szCs w:val="22"/>
        </w:rPr>
      </w:pPr>
      <w:bookmarkStart w:id="69" w:name="_Toc229395924"/>
      <w:r w:rsidRPr="00241C29">
        <w:rPr>
          <w:rFonts w:ascii="Arial" w:eastAsia="Arial" w:hAnsi="Arial" w:cs="Arial"/>
          <w:i w:val="0"/>
          <w:iCs w:val="0"/>
          <w:color w:val="000000" w:themeColor="text1"/>
          <w:sz w:val="22"/>
          <w:szCs w:val="22"/>
        </w:rPr>
        <w:t xml:space="preserve">Ilustración </w:t>
      </w:r>
      <w:r>
        <w:rPr>
          <w:rFonts w:ascii="Arial" w:eastAsia="Arial" w:hAnsi="Arial" w:cs="Arial"/>
          <w:i w:val="0"/>
          <w:iCs w:val="0"/>
          <w:color w:val="000000" w:themeColor="text1"/>
          <w:sz w:val="22"/>
          <w:szCs w:val="22"/>
        </w:rPr>
        <w:fldChar w:fldCharType="begin"/>
      </w:r>
      <w:r>
        <w:rPr>
          <w:rFonts w:ascii="Arial" w:eastAsia="Arial" w:hAnsi="Arial" w:cs="Arial"/>
          <w:i w:val="0"/>
          <w:iCs w:val="0"/>
          <w:color w:val="000000" w:themeColor="text1"/>
          <w:sz w:val="22"/>
          <w:szCs w:val="22"/>
        </w:rPr>
        <w:instrText xml:space="preserve"> SEQ Ilustración \* ARABIC </w:instrText>
      </w:r>
      <w:r>
        <w:rPr>
          <w:rFonts w:ascii="Arial" w:eastAsia="Arial" w:hAnsi="Arial" w:cs="Arial"/>
          <w:i w:val="0"/>
          <w:iCs w:val="0"/>
          <w:color w:val="000000" w:themeColor="text1"/>
          <w:sz w:val="22"/>
          <w:szCs w:val="22"/>
        </w:rPr>
        <w:fldChar w:fldCharType="separate"/>
      </w:r>
      <w:r>
        <w:rPr>
          <w:rFonts w:ascii="Arial" w:eastAsia="Arial" w:hAnsi="Arial" w:cs="Arial"/>
          <w:i w:val="0"/>
          <w:iCs w:val="0"/>
          <w:noProof/>
          <w:color w:val="000000" w:themeColor="text1"/>
          <w:sz w:val="22"/>
          <w:szCs w:val="22"/>
        </w:rPr>
        <w:t>6</w:t>
      </w:r>
      <w:r>
        <w:rPr>
          <w:rFonts w:ascii="Arial" w:eastAsia="Arial" w:hAnsi="Arial" w:cs="Arial"/>
          <w:i w:val="0"/>
          <w:iCs w:val="0"/>
          <w:color w:val="000000" w:themeColor="text1"/>
          <w:sz w:val="22"/>
          <w:szCs w:val="22"/>
        </w:rPr>
        <w:fldChar w:fldCharType="end"/>
      </w:r>
      <w:r w:rsidRPr="00241C29">
        <w:rPr>
          <w:rFonts w:ascii="Arial" w:eastAsia="Arial" w:hAnsi="Arial" w:cs="Arial"/>
          <w:i w:val="0"/>
          <w:iCs w:val="0"/>
          <w:color w:val="000000" w:themeColor="text1"/>
          <w:sz w:val="22"/>
          <w:szCs w:val="22"/>
        </w:rPr>
        <w:t>. Cuentas por pagar (cifras en millones pesos colombianos)</w:t>
      </w:r>
      <w:bookmarkEnd w:id="69"/>
    </w:p>
    <w:p w14:paraId="59C91F74" w14:textId="77777777" w:rsidR="00C95308" w:rsidRDefault="00C95308" w:rsidP="00C95308">
      <w:pPr>
        <w:spacing w:line="360" w:lineRule="auto"/>
        <w:jc w:val="both"/>
        <w:rPr>
          <w:rFonts w:ascii="Arial" w:hAnsi="Arial" w:cs="Arial"/>
          <w:noProof/>
          <w:sz w:val="22"/>
          <w:szCs w:val="22"/>
        </w:rPr>
      </w:pPr>
      <w:r w:rsidRPr="00941807">
        <w:rPr>
          <w:rFonts w:ascii="Arial" w:hAnsi="Arial" w:cs="Arial"/>
          <w:noProof/>
          <w:color w:val="000000" w:themeColor="text1"/>
        </w:rPr>
        <w:drawing>
          <wp:inline distT="0" distB="0" distL="0" distR="0" wp14:anchorId="69A9954C" wp14:editId="29D170CF">
            <wp:extent cx="5743575" cy="2657475"/>
            <wp:effectExtent l="0" t="0" r="0" b="0"/>
            <wp:docPr id="4" name="Gráfico 4">
              <a:extLst xmlns:a="http://schemas.openxmlformats.org/drawingml/2006/main">
                <a:ext uri="{FF2B5EF4-FFF2-40B4-BE49-F238E27FC236}">
                  <a16:creationId xmlns:a16="http://schemas.microsoft.com/office/drawing/2014/main" id="{4865E749-1B41-6B02-2938-FEE311A81D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3C87937" w14:textId="7BA94623" w:rsidR="00C95308" w:rsidRPr="009031ED" w:rsidRDefault="00C95308" w:rsidP="00C95308">
      <w:pPr>
        <w:jc w:val="both"/>
        <w:textAlignment w:val="baseline"/>
        <w:rPr>
          <w:rFonts w:ascii="Arial" w:hAnsi="Arial" w:cs="Arial"/>
          <w:color w:val="000000"/>
          <w:sz w:val="16"/>
          <w:szCs w:val="16"/>
          <w:lang w:eastAsia="es-CO"/>
        </w:rPr>
      </w:pPr>
      <w:r w:rsidRPr="009031ED">
        <w:rPr>
          <w:rFonts w:ascii="Arial" w:hAnsi="Arial" w:cs="Arial"/>
          <w:color w:val="000000"/>
          <w:sz w:val="16"/>
          <w:szCs w:val="16"/>
          <w:lang w:eastAsia="es-CO"/>
        </w:rPr>
        <w:t xml:space="preserve">Fuente: </w:t>
      </w:r>
      <w:r w:rsidR="00924E1C" w:rsidRPr="00924E1C">
        <w:rPr>
          <w:rFonts w:ascii="Arial" w:hAnsi="Arial" w:cs="Arial"/>
          <w:color w:val="000000"/>
          <w:sz w:val="16"/>
          <w:szCs w:val="16"/>
          <w:lang w:eastAsia="es-CO"/>
        </w:rPr>
        <w:t>Catálogo de información financiera EPS del régimen contributivo y subsidiado consolidado a diciembre de 2025, disponible en el portal de Datos Abiertos de la Superintendencia Nacional de Salud: https://mapas.supersalud.gov.co/arcgisportal/apps/sites/#/datos-abiertos/documents/760d95890d79460da9715b83b9d27933/about.</w:t>
      </w:r>
    </w:p>
    <w:p w14:paraId="0CDEDED1" w14:textId="77777777" w:rsidR="00C95308" w:rsidRDefault="00C95308" w:rsidP="00C95308">
      <w:pPr>
        <w:spacing w:line="360" w:lineRule="auto"/>
        <w:jc w:val="both"/>
        <w:rPr>
          <w:rFonts w:ascii="Arial" w:hAnsi="Arial" w:cs="Arial"/>
          <w:noProof/>
          <w:sz w:val="22"/>
          <w:szCs w:val="22"/>
        </w:rPr>
      </w:pPr>
    </w:p>
    <w:p w14:paraId="5D16B55E" w14:textId="77777777" w:rsidR="00C95308" w:rsidRPr="00AD0F2F" w:rsidRDefault="00C95308" w:rsidP="00C95308">
      <w:pPr>
        <w:spacing w:line="360" w:lineRule="auto"/>
        <w:jc w:val="both"/>
        <w:rPr>
          <w:rFonts w:ascii="Arial" w:hAnsi="Arial" w:cs="Arial"/>
          <w:sz w:val="22"/>
          <w:szCs w:val="22"/>
        </w:rPr>
      </w:pPr>
      <w:r w:rsidRPr="00AD0F2F">
        <w:rPr>
          <w:rFonts w:ascii="Arial" w:hAnsi="Arial" w:cs="Arial"/>
          <w:sz w:val="22"/>
          <w:szCs w:val="22"/>
        </w:rPr>
        <w:t>Como se observa en la gráfica, las cuentas por pagar de COOSALUD EPS presentaron un comportamiento cambiante a lo largo del periodo analizado. En 2021 este rubro ascendía a $356.405 millones, valor que se redujo a $162.766 millones en 2022 y posteriormente a $66.844 millones en 2023, lo que representa una disminución acumulada de 81,2% frente al inicio del periodo. Sin embargo, a partir de 2024 se registra un cambio abrupto en la tendencia, con un incremento hasta $986.537 millones, equivalente a un aumento de 1.375,9% frente a 2023. Esta dinámica se profundiza en 2025, cuando las cuentas por pagar alcanzan $2.543.908 millones, con un crecimiento adicional de 157,8% respecto a 2024. En términos acumulados, entre 2021 y 2025 el rubro aumentó 613,8%, lo que evidencia un deterioro significativo en el comportamiento de las obligaciones pendientes de pago.</w:t>
      </w:r>
    </w:p>
    <w:p w14:paraId="4B38AEE4" w14:textId="77777777" w:rsidR="00C95308" w:rsidRPr="00AD0F2F" w:rsidRDefault="00C95308" w:rsidP="00C95308">
      <w:pPr>
        <w:spacing w:line="360" w:lineRule="auto"/>
        <w:jc w:val="both"/>
        <w:rPr>
          <w:rFonts w:ascii="Arial" w:hAnsi="Arial" w:cs="Arial"/>
          <w:sz w:val="22"/>
          <w:szCs w:val="22"/>
        </w:rPr>
      </w:pPr>
    </w:p>
    <w:p w14:paraId="589A2F34" w14:textId="77777777" w:rsidR="00C95308" w:rsidRPr="00241C29" w:rsidRDefault="00C95308" w:rsidP="00C95308">
      <w:pPr>
        <w:spacing w:line="360" w:lineRule="auto"/>
        <w:jc w:val="both"/>
        <w:rPr>
          <w:rFonts w:ascii="Arial" w:hAnsi="Arial" w:cs="Arial"/>
          <w:sz w:val="22"/>
          <w:szCs w:val="22"/>
        </w:rPr>
      </w:pPr>
      <w:r w:rsidRPr="00AD0F2F">
        <w:rPr>
          <w:rFonts w:ascii="Arial" w:hAnsi="Arial" w:cs="Arial"/>
          <w:sz w:val="22"/>
          <w:szCs w:val="22"/>
        </w:rPr>
        <w:t>Desde una perspectiva financiera, este comportamiento sugiere que la entidad pasó de una fase de aparente contención de obligaciones entre 2021 y 2023 a un escenario de acumulación acelerada de pasivos operativos en los dos últimos años del periodo. El incremento observado en 2024 y 2025 podría estar asociado a mayores presiones de cartera con prestadores y proveedores, rezagos en el pago de obligaciones corrientes o dificultades de liquidez para atender oportunamente los compromisos derivados de la operación. En este sentido, la evolución de las cuentas por pagar constituye un indicador relevante de riesgo financiero, en la medida en que su crecimiento sostenido puede afectar la oportunidad en los pagos, generar tensiones en la red de prestación de servicios y comprometer la continuidad operativa de la EPS.</w:t>
      </w:r>
    </w:p>
    <w:p w14:paraId="2E11B795" w14:textId="77777777" w:rsidR="00C95308" w:rsidRPr="00241C29" w:rsidRDefault="00C95308" w:rsidP="00C95308">
      <w:pPr>
        <w:spacing w:line="360" w:lineRule="auto"/>
        <w:jc w:val="both"/>
        <w:rPr>
          <w:rFonts w:ascii="Arial" w:hAnsi="Arial" w:cs="Arial"/>
          <w:sz w:val="22"/>
          <w:szCs w:val="22"/>
        </w:rPr>
      </w:pPr>
    </w:p>
    <w:p w14:paraId="78BC92DC" w14:textId="77777777" w:rsidR="00C95308" w:rsidRDefault="00C95308" w:rsidP="00C95308">
      <w:pPr>
        <w:spacing w:line="360" w:lineRule="auto"/>
        <w:jc w:val="both"/>
        <w:rPr>
          <w:rFonts w:ascii="Arial" w:hAnsi="Arial" w:cs="Arial"/>
          <w:sz w:val="22"/>
          <w:szCs w:val="22"/>
        </w:rPr>
      </w:pPr>
      <w:r w:rsidRPr="00E75F09">
        <w:rPr>
          <w:rFonts w:ascii="Arial" w:hAnsi="Arial" w:cs="Arial"/>
          <w:sz w:val="22"/>
          <w:szCs w:val="22"/>
        </w:rPr>
        <w:t xml:space="preserve">En este contexto, el crecimiento acelerado de las cuentas por pagar constituye una señal de alerta sobre la capacidad de COOSALUD EPS para atender oportunamente sus obligaciones corrientes derivadas de la prestación de servicios de salud. Más allá de su expresión contable, este comportamiento refleja una presión creciente sobre el flujo de recursos de la entidad y sobre su capacidad para cumplir de manera oportuna con la red prestadora, con los proveedores y con otros acreedores asociados a la operación. </w:t>
      </w:r>
    </w:p>
    <w:p w14:paraId="755B09EA" w14:textId="77777777" w:rsidR="00C95308" w:rsidRDefault="00C95308" w:rsidP="00C95308">
      <w:pPr>
        <w:spacing w:line="360" w:lineRule="auto"/>
        <w:jc w:val="both"/>
        <w:rPr>
          <w:rFonts w:ascii="Arial" w:hAnsi="Arial" w:cs="Arial"/>
          <w:sz w:val="22"/>
          <w:szCs w:val="22"/>
        </w:rPr>
      </w:pPr>
    </w:p>
    <w:p w14:paraId="409849EC" w14:textId="77777777" w:rsidR="00C95308" w:rsidRDefault="00C95308" w:rsidP="00C95308">
      <w:pPr>
        <w:spacing w:line="360" w:lineRule="auto"/>
        <w:jc w:val="both"/>
        <w:rPr>
          <w:rFonts w:ascii="Arial" w:hAnsi="Arial" w:cs="Arial"/>
          <w:sz w:val="22"/>
          <w:szCs w:val="22"/>
        </w:rPr>
      </w:pPr>
      <w:r w:rsidRPr="00E75F09">
        <w:rPr>
          <w:rFonts w:ascii="Arial" w:hAnsi="Arial" w:cs="Arial"/>
          <w:sz w:val="22"/>
          <w:szCs w:val="22"/>
        </w:rPr>
        <w:t xml:space="preserve">La acumulación de obligaciones pendientes de pago puede traducirse en tensiones con las IPS, debilitamiento de la red contratada, restricciones en la oferta efectiva de servicios y aumento del riesgo de barreras de acceso para la población afiliada. En consecuencia, el </w:t>
      </w:r>
      <w:r w:rsidRPr="00E75F09">
        <w:rPr>
          <w:rFonts w:ascii="Arial" w:hAnsi="Arial" w:cs="Arial"/>
          <w:sz w:val="22"/>
          <w:szCs w:val="22"/>
        </w:rPr>
        <w:lastRenderedPageBreak/>
        <w:t>deterioro de este rubro no solo evidencia dificultades en la gestión financiera de corto plazo, sino que también configura un riesgo operativo relevante para la continuidad, oportunidad y calidad de la atención en salud de los afiliados en Bogotá D. C.</w:t>
      </w:r>
    </w:p>
    <w:p w14:paraId="2D58BC93" w14:textId="77777777" w:rsidR="00C95308" w:rsidRPr="00241C29" w:rsidRDefault="00C95308" w:rsidP="00C95308">
      <w:pPr>
        <w:spacing w:line="360" w:lineRule="auto"/>
        <w:jc w:val="both"/>
        <w:rPr>
          <w:rFonts w:ascii="Arial" w:eastAsia="Arial" w:hAnsi="Arial" w:cs="Arial"/>
          <w:color w:val="000000" w:themeColor="text1"/>
          <w:sz w:val="22"/>
          <w:szCs w:val="22"/>
        </w:rPr>
      </w:pPr>
    </w:p>
    <w:p w14:paraId="40472513" w14:textId="77777777" w:rsidR="00C95308" w:rsidRPr="00C2596A"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70" w:name="_Toc229397861"/>
      <w:r w:rsidRPr="00D97794">
        <w:rPr>
          <w:rFonts w:ascii="Arial" w:hAnsi="Arial" w:cs="Arial"/>
          <w:b/>
          <w:bCs/>
          <w:color w:val="auto"/>
          <w:sz w:val="22"/>
          <w:szCs w:val="22"/>
        </w:rPr>
        <w:t>Reservas Técnicas</w:t>
      </w:r>
      <w:r>
        <w:rPr>
          <w:rStyle w:val="Refdenotaalpie"/>
          <w:rFonts w:ascii="Arial" w:hAnsi="Arial" w:cs="Arial"/>
          <w:b/>
          <w:bCs/>
          <w:color w:val="auto"/>
          <w:sz w:val="22"/>
          <w:szCs w:val="22"/>
        </w:rPr>
        <w:footnoteReference w:id="12"/>
      </w:r>
      <w:r>
        <w:rPr>
          <w:rFonts w:ascii="Arial" w:hAnsi="Arial" w:cs="Arial"/>
          <w:b/>
          <w:bCs/>
          <w:color w:val="auto"/>
          <w:sz w:val="22"/>
          <w:szCs w:val="22"/>
        </w:rPr>
        <w:t xml:space="preserve"> </w:t>
      </w:r>
      <w:r w:rsidRPr="00C2596A">
        <w:rPr>
          <w:rFonts w:ascii="Arial" w:hAnsi="Arial" w:cs="Arial"/>
          <w:b/>
          <w:bCs/>
          <w:color w:val="auto"/>
          <w:sz w:val="22"/>
          <w:szCs w:val="22"/>
        </w:rPr>
        <w:t>(2021–2025)</w:t>
      </w:r>
      <w:bookmarkEnd w:id="70"/>
    </w:p>
    <w:p w14:paraId="0466234C" w14:textId="77777777" w:rsidR="00C95308" w:rsidRDefault="00C95308" w:rsidP="00C95308">
      <w:pPr>
        <w:spacing w:line="360" w:lineRule="auto"/>
        <w:jc w:val="both"/>
        <w:rPr>
          <w:rFonts w:ascii="Arial" w:eastAsia="Arial" w:hAnsi="Arial" w:cs="Arial"/>
          <w:sz w:val="22"/>
          <w:szCs w:val="22"/>
        </w:rPr>
      </w:pPr>
    </w:p>
    <w:p w14:paraId="5D64C278" w14:textId="77777777" w:rsidR="00C95308" w:rsidRPr="00241C29" w:rsidRDefault="00C95308" w:rsidP="00C95308">
      <w:pPr>
        <w:spacing w:line="360" w:lineRule="auto"/>
        <w:jc w:val="both"/>
        <w:rPr>
          <w:rFonts w:ascii="Arial" w:hAnsi="Arial" w:cs="Arial"/>
          <w:sz w:val="22"/>
          <w:szCs w:val="22"/>
        </w:rPr>
      </w:pPr>
      <w:r w:rsidRPr="00241C29">
        <w:rPr>
          <w:rFonts w:ascii="Arial" w:eastAsia="Arial" w:hAnsi="Arial" w:cs="Arial"/>
          <w:sz w:val="22"/>
          <w:szCs w:val="22"/>
        </w:rPr>
        <w:t xml:space="preserve">Según los estados financieros publicados y firmados por el Representante Legal, Contador y Revisor Fiscal, en las notas se enuncia textualmente lo siguiente: </w:t>
      </w:r>
    </w:p>
    <w:p w14:paraId="7D8567B5" w14:textId="77777777" w:rsidR="00C95308" w:rsidRPr="00241C29" w:rsidRDefault="00C95308" w:rsidP="00C95308">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01E87D19" w14:textId="77777777" w:rsidR="00C95308" w:rsidRDefault="00C95308" w:rsidP="00C95308">
      <w:pPr>
        <w:spacing w:line="360" w:lineRule="auto"/>
        <w:jc w:val="both"/>
        <w:rPr>
          <w:rFonts w:ascii="Arial" w:eastAsia="Arial" w:hAnsi="Arial" w:cs="Arial"/>
          <w:i/>
          <w:iCs/>
          <w:sz w:val="22"/>
          <w:szCs w:val="22"/>
        </w:rPr>
      </w:pPr>
      <w:r w:rsidRPr="00241C29">
        <w:rPr>
          <w:rFonts w:ascii="Arial" w:eastAsia="Arial" w:hAnsi="Arial" w:cs="Arial"/>
          <w:i/>
          <w:iCs/>
          <w:sz w:val="22"/>
          <w:szCs w:val="22"/>
        </w:rPr>
        <w:t>“Las entidades a que hace referencia el artículo 2.5.2.2.1.2 del Decreto 780 de 2016, deberán mantener inversiones de al menos el 100% del saldo de sus reservas técnicas del mes calendario inmediatamente anterior. Requisito general, las inversiones deben ser de la más alta liquidez y seguridad.</w:t>
      </w:r>
    </w:p>
    <w:p w14:paraId="4F13E2C0" w14:textId="77777777" w:rsidR="00C95308" w:rsidRPr="00241C29" w:rsidRDefault="00C95308" w:rsidP="00C95308">
      <w:pPr>
        <w:spacing w:line="360" w:lineRule="auto"/>
        <w:jc w:val="both"/>
        <w:rPr>
          <w:rFonts w:ascii="Arial" w:hAnsi="Arial" w:cs="Arial"/>
          <w:sz w:val="22"/>
          <w:szCs w:val="22"/>
        </w:rPr>
      </w:pPr>
    </w:p>
    <w:p w14:paraId="48EEC235" w14:textId="77777777" w:rsidR="00C95308" w:rsidRPr="00A35CFB" w:rsidRDefault="00C95308" w:rsidP="00C95308">
      <w:pPr>
        <w:spacing w:line="360" w:lineRule="auto"/>
        <w:jc w:val="both"/>
        <w:rPr>
          <w:rFonts w:ascii="Arial" w:eastAsia="Arial" w:hAnsi="Arial" w:cs="Arial"/>
          <w:i/>
          <w:iCs/>
          <w:sz w:val="22"/>
          <w:szCs w:val="22"/>
        </w:rPr>
      </w:pPr>
      <w:r w:rsidRPr="00241C29">
        <w:rPr>
          <w:rFonts w:ascii="Arial" w:eastAsia="Arial" w:hAnsi="Arial" w:cs="Arial"/>
          <w:i/>
          <w:iCs/>
          <w:sz w:val="22"/>
          <w:szCs w:val="22"/>
        </w:rPr>
        <w:t>Las inversiones de las reservas técnicas se deben mantener libres de embargos, gravámenes, medidas preventivas, o de cualquier naturaleza que impida su libre cesión o transferencia. Cualquier afectación de las mencionadas impedirá que sea computada como inversión de las reservas técnicas. De acuerdo con la normatividad vigente (Decreto 780 y Decreto 2117).</w:t>
      </w:r>
    </w:p>
    <w:p w14:paraId="0A9D4FA9" w14:textId="77777777" w:rsidR="00C95308" w:rsidRDefault="00C95308" w:rsidP="00C95308">
      <w:pPr>
        <w:spacing w:line="360" w:lineRule="auto"/>
        <w:jc w:val="both"/>
        <w:rPr>
          <w:rFonts w:ascii="Arial" w:eastAsia="Arial" w:hAnsi="Arial" w:cs="Arial"/>
          <w:i/>
          <w:iCs/>
          <w:sz w:val="22"/>
          <w:szCs w:val="22"/>
        </w:rPr>
      </w:pPr>
    </w:p>
    <w:p w14:paraId="5005C928" w14:textId="77777777" w:rsidR="00C95308" w:rsidRDefault="00C95308" w:rsidP="00C95308">
      <w:pPr>
        <w:spacing w:line="360" w:lineRule="auto"/>
        <w:jc w:val="both"/>
        <w:rPr>
          <w:rFonts w:ascii="Arial" w:eastAsia="Arial" w:hAnsi="Arial" w:cs="Arial"/>
          <w:sz w:val="22"/>
          <w:szCs w:val="22"/>
        </w:rPr>
      </w:pPr>
      <w:r>
        <w:rPr>
          <w:rFonts w:ascii="Arial" w:eastAsia="Arial" w:hAnsi="Arial" w:cs="Arial"/>
          <w:sz w:val="22"/>
          <w:szCs w:val="22"/>
        </w:rPr>
        <w:t>Ahora bien, c</w:t>
      </w:r>
      <w:r w:rsidRPr="00C16FA7">
        <w:rPr>
          <w:rFonts w:ascii="Arial" w:eastAsia="Arial" w:hAnsi="Arial" w:cs="Arial"/>
          <w:sz w:val="22"/>
          <w:szCs w:val="22"/>
        </w:rPr>
        <w:t>on el propósito de analizar la evolución de las reservas técnicas de COOSALUD EPS y su incidencia sobre la suficiencia financiera de la entidad para respaldar las obligaciones derivadas de la atención en salud</w:t>
      </w:r>
      <w:r>
        <w:rPr>
          <w:rFonts w:ascii="Arial" w:eastAsia="Arial" w:hAnsi="Arial" w:cs="Arial"/>
          <w:sz w:val="22"/>
          <w:szCs w:val="22"/>
        </w:rPr>
        <w:t>. A</w:t>
      </w:r>
      <w:r w:rsidRPr="00C16FA7">
        <w:rPr>
          <w:rFonts w:ascii="Arial" w:eastAsia="Arial" w:hAnsi="Arial" w:cs="Arial"/>
          <w:sz w:val="22"/>
          <w:szCs w:val="22"/>
        </w:rPr>
        <w:t xml:space="preserve"> continuación, se presenta el comportamiento de este indicador durante el periodo 2021–2025. </w:t>
      </w:r>
      <w:r>
        <w:rPr>
          <w:rFonts w:ascii="Arial" w:eastAsia="Arial" w:hAnsi="Arial" w:cs="Arial"/>
          <w:sz w:val="22"/>
          <w:szCs w:val="22"/>
        </w:rPr>
        <w:t xml:space="preserve"> </w:t>
      </w:r>
    </w:p>
    <w:p w14:paraId="0902D74E" w14:textId="77777777" w:rsidR="00C95308" w:rsidRDefault="00C95308" w:rsidP="00C95308">
      <w:pPr>
        <w:spacing w:line="360" w:lineRule="auto"/>
        <w:jc w:val="both"/>
        <w:rPr>
          <w:rFonts w:ascii="Arial" w:eastAsia="Arial" w:hAnsi="Arial" w:cs="Arial"/>
          <w:sz w:val="22"/>
          <w:szCs w:val="22"/>
        </w:rPr>
      </w:pPr>
    </w:p>
    <w:p w14:paraId="16FF2979" w14:textId="21EA9418" w:rsidR="00C95308" w:rsidRDefault="00C95308" w:rsidP="00C95308">
      <w:pPr>
        <w:spacing w:line="360" w:lineRule="auto"/>
        <w:jc w:val="both"/>
        <w:rPr>
          <w:rFonts w:ascii="Arial" w:eastAsia="Arial" w:hAnsi="Arial" w:cs="Arial"/>
          <w:sz w:val="22"/>
          <w:szCs w:val="22"/>
        </w:rPr>
      </w:pPr>
      <w:r w:rsidRPr="00C16FA7">
        <w:rPr>
          <w:rFonts w:ascii="Arial" w:eastAsia="Arial" w:hAnsi="Arial" w:cs="Arial"/>
          <w:sz w:val="22"/>
          <w:szCs w:val="22"/>
        </w:rPr>
        <w:t>El seguimiento a las reservas técnicas es particularmente relevante, en la medida en que refleja la capacidad de la EPS para reconocer y cubrir obligaciones ya liquidadas, pendientes de pago, así como obligaciones conocidas asociadas a la prestación de servicios de salud. En términos generales, la información evidencia una relativa estabilidad entre 2021 y 2023, seguida de un crecimiento abrupto en 2024 y una profundización aún mayor en 2025, lo que constituye una señal de presión creciente sobre la sostenibilidad financiera de la entidad.</w:t>
      </w:r>
    </w:p>
    <w:p w14:paraId="17D9BE6B" w14:textId="77777777" w:rsidR="00E5227C" w:rsidRDefault="00E5227C" w:rsidP="00C95308">
      <w:pPr>
        <w:spacing w:line="360" w:lineRule="auto"/>
        <w:jc w:val="both"/>
        <w:rPr>
          <w:rFonts w:ascii="Arial" w:eastAsia="Arial" w:hAnsi="Arial" w:cs="Arial"/>
          <w:sz w:val="22"/>
          <w:szCs w:val="22"/>
        </w:rPr>
      </w:pPr>
    </w:p>
    <w:p w14:paraId="55E6C093" w14:textId="77777777" w:rsidR="00C95308" w:rsidRPr="00241C29" w:rsidRDefault="00C95308" w:rsidP="00C95308">
      <w:pPr>
        <w:pStyle w:val="Descripcin"/>
        <w:spacing w:after="0" w:line="360" w:lineRule="auto"/>
        <w:jc w:val="center"/>
        <w:rPr>
          <w:rFonts w:ascii="Arial" w:eastAsia="Arial" w:hAnsi="Arial" w:cs="Arial"/>
          <w:i w:val="0"/>
          <w:iCs w:val="0"/>
          <w:color w:val="000000" w:themeColor="text1"/>
          <w:sz w:val="22"/>
          <w:szCs w:val="22"/>
        </w:rPr>
      </w:pPr>
      <w:bookmarkStart w:id="71" w:name="_Toc229395925"/>
      <w:r w:rsidRPr="00C16FA7">
        <w:rPr>
          <w:rFonts w:ascii="Arial" w:hAnsi="Arial" w:cs="Arial"/>
          <w:i w:val="0"/>
          <w:iCs w:val="0"/>
          <w:color w:val="auto"/>
          <w:sz w:val="22"/>
          <w:szCs w:val="22"/>
        </w:rPr>
        <w:t xml:space="preserve">Ilustración </w:t>
      </w:r>
      <w:r w:rsidRPr="00C16FA7">
        <w:rPr>
          <w:rFonts w:ascii="Arial" w:hAnsi="Arial" w:cs="Arial"/>
          <w:i w:val="0"/>
          <w:iCs w:val="0"/>
          <w:color w:val="auto"/>
          <w:sz w:val="22"/>
          <w:szCs w:val="22"/>
        </w:rPr>
        <w:fldChar w:fldCharType="begin"/>
      </w:r>
      <w:r w:rsidRPr="00C16FA7">
        <w:rPr>
          <w:rFonts w:ascii="Arial" w:hAnsi="Arial" w:cs="Arial"/>
          <w:i w:val="0"/>
          <w:iCs w:val="0"/>
          <w:color w:val="auto"/>
          <w:sz w:val="22"/>
          <w:szCs w:val="22"/>
        </w:rPr>
        <w:instrText xml:space="preserve"> SEQ Ilustración \* ARABIC </w:instrText>
      </w:r>
      <w:r w:rsidRPr="00C16FA7">
        <w:rPr>
          <w:rFonts w:ascii="Arial" w:hAnsi="Arial" w:cs="Arial"/>
          <w:i w:val="0"/>
          <w:iCs w:val="0"/>
          <w:color w:val="auto"/>
          <w:sz w:val="22"/>
          <w:szCs w:val="22"/>
        </w:rPr>
        <w:fldChar w:fldCharType="separate"/>
      </w:r>
      <w:r>
        <w:rPr>
          <w:rFonts w:ascii="Arial" w:hAnsi="Arial" w:cs="Arial"/>
          <w:i w:val="0"/>
          <w:iCs w:val="0"/>
          <w:noProof/>
          <w:color w:val="auto"/>
          <w:sz w:val="22"/>
          <w:szCs w:val="22"/>
        </w:rPr>
        <w:t>7</w:t>
      </w:r>
      <w:r w:rsidRPr="00C16FA7">
        <w:rPr>
          <w:rFonts w:ascii="Arial" w:hAnsi="Arial" w:cs="Arial"/>
          <w:i w:val="0"/>
          <w:iCs w:val="0"/>
          <w:color w:val="auto"/>
          <w:sz w:val="22"/>
          <w:szCs w:val="22"/>
        </w:rPr>
        <w:fldChar w:fldCharType="end"/>
      </w:r>
      <w:r w:rsidRPr="00C16FA7">
        <w:rPr>
          <w:rFonts w:ascii="Arial" w:hAnsi="Arial" w:cs="Arial"/>
          <w:i w:val="0"/>
          <w:iCs w:val="0"/>
          <w:color w:val="auto"/>
          <w:sz w:val="22"/>
          <w:szCs w:val="22"/>
        </w:rPr>
        <w:t>:</w:t>
      </w:r>
      <w:r>
        <w:rPr>
          <w:rFonts w:ascii="Arial" w:hAnsi="Arial" w:cs="Arial"/>
          <w:i w:val="0"/>
          <w:iCs w:val="0"/>
          <w:color w:val="auto"/>
          <w:sz w:val="22"/>
          <w:szCs w:val="22"/>
        </w:rPr>
        <w:t xml:space="preserve"> </w:t>
      </w:r>
      <w:r w:rsidRPr="00C16FA7">
        <w:rPr>
          <w:rFonts w:ascii="Arial" w:hAnsi="Arial" w:cs="Arial"/>
          <w:i w:val="0"/>
          <w:iCs w:val="0"/>
          <w:color w:val="auto"/>
          <w:sz w:val="22"/>
          <w:szCs w:val="22"/>
        </w:rPr>
        <w:t xml:space="preserve">Reservas técnicas Coosalud EPS </w:t>
      </w:r>
      <w:r>
        <w:rPr>
          <w:rFonts w:ascii="Arial" w:hAnsi="Arial" w:cs="Arial"/>
          <w:i w:val="0"/>
          <w:iCs w:val="0"/>
          <w:color w:val="auto"/>
          <w:sz w:val="22"/>
          <w:szCs w:val="22"/>
        </w:rPr>
        <w:t xml:space="preserve">de </w:t>
      </w:r>
      <w:r w:rsidRPr="00C16FA7">
        <w:rPr>
          <w:rFonts w:ascii="Arial" w:hAnsi="Arial" w:cs="Arial"/>
          <w:i w:val="0"/>
          <w:iCs w:val="0"/>
          <w:color w:val="auto"/>
          <w:sz w:val="22"/>
          <w:szCs w:val="22"/>
        </w:rPr>
        <w:t>2021</w:t>
      </w:r>
      <w:r>
        <w:rPr>
          <w:rFonts w:ascii="Arial" w:hAnsi="Arial" w:cs="Arial"/>
          <w:i w:val="0"/>
          <w:iCs w:val="0"/>
          <w:color w:val="auto"/>
          <w:sz w:val="22"/>
          <w:szCs w:val="22"/>
        </w:rPr>
        <w:t xml:space="preserve">ª </w:t>
      </w:r>
      <w:r w:rsidRPr="00C16FA7">
        <w:rPr>
          <w:rFonts w:ascii="Arial" w:hAnsi="Arial" w:cs="Arial"/>
          <w:i w:val="0"/>
          <w:iCs w:val="0"/>
          <w:color w:val="auto"/>
          <w:sz w:val="22"/>
          <w:szCs w:val="22"/>
        </w:rPr>
        <w:t>2025</w:t>
      </w:r>
      <w:r>
        <w:rPr>
          <w:rStyle w:val="Refdenotaalpie"/>
          <w:rFonts w:ascii="Arial" w:hAnsi="Arial" w:cs="Arial"/>
          <w:i w:val="0"/>
          <w:iCs w:val="0"/>
          <w:color w:val="auto"/>
          <w:sz w:val="22"/>
          <w:szCs w:val="22"/>
        </w:rPr>
        <w:footnoteReference w:id="13"/>
      </w:r>
      <w:r w:rsidRPr="00241C29">
        <w:rPr>
          <w:rFonts w:ascii="Arial" w:eastAsia="Arial" w:hAnsi="Arial" w:cs="Arial"/>
          <w:i w:val="0"/>
          <w:iCs w:val="0"/>
          <w:color w:val="000000" w:themeColor="text1"/>
          <w:sz w:val="22"/>
          <w:szCs w:val="22"/>
        </w:rPr>
        <w:t>(cifras en millones pesos colombianos)</w:t>
      </w:r>
      <w:bookmarkEnd w:id="71"/>
    </w:p>
    <w:p w14:paraId="35FFCC10" w14:textId="77777777" w:rsidR="00C95308" w:rsidRDefault="00C95308" w:rsidP="00C95308">
      <w:pPr>
        <w:keepNext/>
        <w:spacing w:line="360" w:lineRule="auto"/>
        <w:jc w:val="both"/>
      </w:pPr>
      <w:r>
        <w:rPr>
          <w:noProof/>
        </w:rPr>
        <w:drawing>
          <wp:inline distT="0" distB="0" distL="0" distR="0" wp14:anchorId="62E173C3" wp14:editId="4D37E53C">
            <wp:extent cx="5543550" cy="2235200"/>
            <wp:effectExtent l="0" t="0" r="0" b="0"/>
            <wp:docPr id="9" name="Gráfico 9">
              <a:extLst xmlns:a="http://schemas.openxmlformats.org/drawingml/2006/main">
                <a:ext uri="{FF2B5EF4-FFF2-40B4-BE49-F238E27FC236}">
                  <a16:creationId xmlns:a16="http://schemas.microsoft.com/office/drawing/2014/main" id="{5C92290A-DB1A-65C7-EF24-0D4B1BB370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239A2894" w14:textId="50D7189A" w:rsidR="00C95308" w:rsidRDefault="00C95308" w:rsidP="00071696">
      <w:pPr>
        <w:jc w:val="both"/>
        <w:textAlignment w:val="baseline"/>
        <w:rPr>
          <w:rFonts w:ascii="Arial" w:hAnsi="Arial" w:cs="Arial"/>
          <w:color w:val="000000"/>
          <w:sz w:val="16"/>
          <w:szCs w:val="16"/>
          <w:lang w:eastAsia="es-CO"/>
        </w:rPr>
      </w:pPr>
      <w:r w:rsidRPr="009031ED">
        <w:rPr>
          <w:rFonts w:ascii="Arial" w:hAnsi="Arial" w:cs="Arial"/>
          <w:color w:val="000000"/>
          <w:sz w:val="16"/>
          <w:szCs w:val="16"/>
          <w:lang w:eastAsia="es-CO"/>
        </w:rPr>
        <w:t>Fuente:</w:t>
      </w:r>
      <w:r w:rsidR="00071696">
        <w:rPr>
          <w:rFonts w:ascii="Arial" w:hAnsi="Arial" w:cs="Arial"/>
          <w:color w:val="000000"/>
          <w:sz w:val="16"/>
          <w:szCs w:val="16"/>
          <w:lang w:eastAsia="es-CO"/>
        </w:rPr>
        <w:t xml:space="preserve"> </w:t>
      </w:r>
      <w:r w:rsidR="00071696" w:rsidRPr="00071696">
        <w:rPr>
          <w:rFonts w:ascii="Arial" w:hAnsi="Arial" w:cs="Arial"/>
          <w:color w:val="000000"/>
          <w:sz w:val="16"/>
          <w:szCs w:val="16"/>
          <w:lang w:eastAsia="es-CO"/>
        </w:rPr>
        <w:t xml:space="preserve">Catálogo de información financiera EPS del régimen contributivo y subsidiado consolidado a diciembre de 2025, disponible en el portal de Datos Abiertos de la Superintendencia Nacional de Salud: </w:t>
      </w:r>
      <w:hyperlink r:id="rId35" w:history="1">
        <w:r w:rsidR="00596CB1" w:rsidRPr="006A5061">
          <w:rPr>
            <w:rStyle w:val="Hipervnculo"/>
            <w:rFonts w:ascii="Arial" w:hAnsi="Arial" w:cs="Arial"/>
            <w:sz w:val="16"/>
            <w:szCs w:val="16"/>
            <w:lang w:eastAsia="es-CO"/>
          </w:rPr>
          <w:t>https://mapas.supersalud.gov.co/arcgisportal/apps/sites/#/datos-abiertos/documents/760d95890d79460da9715b83b9d27933/about</w:t>
        </w:r>
      </w:hyperlink>
      <w:r w:rsidR="00071696" w:rsidRPr="00071696">
        <w:rPr>
          <w:rFonts w:ascii="Arial" w:hAnsi="Arial" w:cs="Arial"/>
          <w:color w:val="000000"/>
          <w:sz w:val="16"/>
          <w:szCs w:val="16"/>
          <w:lang w:eastAsia="es-CO"/>
        </w:rPr>
        <w:t>.</w:t>
      </w:r>
    </w:p>
    <w:p w14:paraId="35CCFE78" w14:textId="77777777" w:rsidR="00596CB1" w:rsidRDefault="00596CB1" w:rsidP="00071696">
      <w:pPr>
        <w:jc w:val="both"/>
        <w:textAlignment w:val="baseline"/>
      </w:pPr>
    </w:p>
    <w:p w14:paraId="6C138018" w14:textId="77777777" w:rsidR="00C95308" w:rsidRPr="006900A6" w:rsidRDefault="00C95308" w:rsidP="00C95308">
      <w:pPr>
        <w:spacing w:line="360" w:lineRule="auto"/>
        <w:jc w:val="both"/>
        <w:rPr>
          <w:rFonts w:ascii="Arial" w:eastAsia="Arial" w:hAnsi="Arial" w:cs="Arial"/>
          <w:sz w:val="22"/>
          <w:szCs w:val="22"/>
        </w:rPr>
      </w:pPr>
      <w:r w:rsidRPr="006900A6">
        <w:rPr>
          <w:rFonts w:ascii="Arial" w:eastAsia="Arial" w:hAnsi="Arial" w:cs="Arial"/>
          <w:sz w:val="22"/>
          <w:szCs w:val="22"/>
        </w:rPr>
        <w:t xml:space="preserve">Como se observa en la gráfica, las reservas técnicas de COOSALUD EPS presentaron un comportamiento variable durante el periodo analizado. En 2021 registraban un valor de $590.262 millones, el cual disminuyó a $506.619 millones en 2022, equivalente a una </w:t>
      </w:r>
      <w:r w:rsidRPr="006900A6">
        <w:rPr>
          <w:rFonts w:ascii="Arial" w:eastAsia="Arial" w:hAnsi="Arial" w:cs="Arial"/>
          <w:sz w:val="22"/>
          <w:szCs w:val="22"/>
        </w:rPr>
        <w:lastRenderedPageBreak/>
        <w:t>reducción de 14,2%. Posteriormente, en 2023 se presentó una recuperación moderada hasta $584.389 millones, con un incremento de 15,3% frente al año anterior. No obstante, a partir de 2024 se evidencia un cambio drástico en la tendencia, al alcanzar $2.663.524 millones, lo que representa un aumento de 355,7% respecto de 2023. Esta dinámica se intensifica en 2025, cuando las reservas técnicas ascienden a $6.513.509 millones, con un crecimiento adicional de 144,5% frente a 2024. En términos acumulados, entre 2021 y 2025 el indicador aumentó 1.003,5%, es decir, se multiplicó por más de once veces durante el periodo.</w:t>
      </w:r>
    </w:p>
    <w:p w14:paraId="4325F9C0" w14:textId="77777777" w:rsidR="00C95308" w:rsidRPr="006900A6" w:rsidRDefault="00C95308" w:rsidP="00C95308">
      <w:pPr>
        <w:spacing w:line="360" w:lineRule="auto"/>
        <w:jc w:val="both"/>
        <w:rPr>
          <w:rFonts w:ascii="Arial" w:eastAsia="Arial" w:hAnsi="Arial" w:cs="Arial"/>
          <w:sz w:val="22"/>
          <w:szCs w:val="22"/>
        </w:rPr>
      </w:pPr>
    </w:p>
    <w:p w14:paraId="22EB1D48" w14:textId="77777777" w:rsidR="00C95308" w:rsidRPr="006900A6" w:rsidRDefault="00C95308" w:rsidP="00C95308">
      <w:pPr>
        <w:spacing w:line="360" w:lineRule="auto"/>
        <w:jc w:val="both"/>
        <w:rPr>
          <w:rFonts w:ascii="Arial" w:eastAsia="Arial" w:hAnsi="Arial" w:cs="Arial"/>
          <w:sz w:val="22"/>
          <w:szCs w:val="22"/>
        </w:rPr>
      </w:pPr>
      <w:r w:rsidRPr="006900A6">
        <w:rPr>
          <w:rFonts w:ascii="Arial" w:eastAsia="Arial" w:hAnsi="Arial" w:cs="Arial"/>
          <w:sz w:val="22"/>
          <w:szCs w:val="22"/>
        </w:rPr>
        <w:t>Desde el punto de vista financiero, este comportamiento sugiere una expansión acelerada de las obligaciones técnicas que la entidad debe respaldar, particularmente en los dos últimos años del análisis. El incremento observado puede estar asociado a una mayor acumulación de obligaciones liquidadas pendientes de pago, al crecimiento de obligaciones conocidas no liquidadas y al aumento de provisiones requeridas para cubrir riesgos derivados de la operación. En ese sentido, aunque las reservas técnicas constituyen un mecanismo necesario para reconocer financieramente dichas obligaciones, su crecimiento de esta magnitud también puede reflejar un incremento sustancial de compromisos pendientes, presiones sobre el flujo de caja y mayores exigencias de suficiencia patrimonial para responder adecuadamente a la red prestadora y a los afiliados.</w:t>
      </w:r>
    </w:p>
    <w:p w14:paraId="30CF2787" w14:textId="77777777" w:rsidR="00C95308" w:rsidRPr="006900A6" w:rsidRDefault="00C95308" w:rsidP="00C95308">
      <w:pPr>
        <w:spacing w:line="360" w:lineRule="auto"/>
        <w:jc w:val="both"/>
        <w:rPr>
          <w:rFonts w:ascii="Arial" w:eastAsia="Arial" w:hAnsi="Arial" w:cs="Arial"/>
          <w:sz w:val="22"/>
          <w:szCs w:val="22"/>
        </w:rPr>
      </w:pPr>
    </w:p>
    <w:p w14:paraId="162C2DC1" w14:textId="77777777" w:rsidR="00C95308" w:rsidRDefault="00C95308" w:rsidP="00C95308">
      <w:pPr>
        <w:spacing w:line="360" w:lineRule="auto"/>
        <w:jc w:val="both"/>
        <w:rPr>
          <w:rFonts w:ascii="Arial" w:eastAsia="Arial" w:hAnsi="Arial" w:cs="Arial"/>
          <w:sz w:val="22"/>
          <w:szCs w:val="22"/>
        </w:rPr>
      </w:pPr>
      <w:r w:rsidRPr="00F96221">
        <w:rPr>
          <w:rFonts w:ascii="Arial" w:eastAsia="Arial" w:hAnsi="Arial" w:cs="Arial"/>
          <w:sz w:val="22"/>
          <w:szCs w:val="22"/>
        </w:rPr>
        <w:t>En síntesis, la evolución de las reservas técnicas de COOSALUD EPS evidencia un deterioro relevante en la capacidad de la entidad para respaldar financieramente las obligaciones asociadas a la prestación de servicios de salud, especialmente a partir de 2024. El aumento abrupto de este indicador no debe interpretarse únicamente como una variación contable, sino como la manifestación de una mayor acumulación de obligaciones reconocidas y de una presión creciente sobre la suficiencia financiera de la EPS. Esta situación compromete su liquidez y su capacidad real para garantizar el pago oportuno de los servicios, lo que puede traducirse en mayores tensiones con la red prestadora, debilitamiento de la capacidad operativa y riesgo en la continuidad de la atención. En consecuencia, el comportamiento de las reservas técnicas constituye una señal de alerta sobre la sostenibilidad financiera de COOSALUD EPS y sobre la necesidad de fortalecer el seguimiento a la gestión de sus obligaciones, a la suficiencia de sus respaldos y a su capacidad efectiva para responder a los riesgos asumidos en el marco del aseguramiento.</w:t>
      </w:r>
    </w:p>
    <w:p w14:paraId="37E3F212" w14:textId="77777777" w:rsidR="00C95308" w:rsidRDefault="00C95308" w:rsidP="00C95308"/>
    <w:p w14:paraId="3ECA75C7" w14:textId="77777777" w:rsidR="00C95308"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72" w:name="_Toc229397862"/>
      <w:r>
        <w:rPr>
          <w:rFonts w:ascii="Arial" w:hAnsi="Arial" w:cs="Arial"/>
          <w:b/>
          <w:bCs/>
          <w:color w:val="auto"/>
          <w:sz w:val="22"/>
          <w:szCs w:val="22"/>
        </w:rPr>
        <w:t>Patrimonio (2021-2025)</w:t>
      </w:r>
      <w:bookmarkEnd w:id="72"/>
    </w:p>
    <w:p w14:paraId="781539F1" w14:textId="77777777" w:rsidR="00C95308" w:rsidRDefault="00C95308" w:rsidP="00C95308"/>
    <w:p w14:paraId="615CCCE8" w14:textId="77777777" w:rsidR="00C95308" w:rsidRDefault="00C95308" w:rsidP="00C95308">
      <w:pPr>
        <w:spacing w:line="360" w:lineRule="auto"/>
        <w:jc w:val="both"/>
        <w:rPr>
          <w:rFonts w:ascii="Arial" w:eastAsia="Arial" w:hAnsi="Arial" w:cs="Arial"/>
          <w:sz w:val="22"/>
          <w:szCs w:val="22"/>
        </w:rPr>
      </w:pPr>
      <w:r w:rsidRPr="00A107CB">
        <w:rPr>
          <w:rFonts w:ascii="Arial" w:eastAsia="Arial" w:hAnsi="Arial" w:cs="Arial"/>
          <w:sz w:val="22"/>
          <w:szCs w:val="22"/>
        </w:rPr>
        <w:t>Con el propósito de evaluar la evolución del patrimonio de COOSALUD EPS durante el periodo 2021–2025. A continuación, se presenta el comportamiento de este rubro, el cual constituye un indicador clave para valorar la solidez financiera, la capacidad de respaldo de las obligaciones y la sostenibilidad de la operación de la entidad. El análisis del patrimonio resulta especialmente relevante, en la medida en que refleja la diferencia entre los activos y los pasivos y permite establecer si la EPS mantiene una base financiera suficiente para soportar los riesgos propios del aseguramiento en salud. En términos generales, la gráfica evidencia un deterioro progresivo del patrimonio, con una ruptura crítica a partir de 2024 y una profundización severa en 2025.</w:t>
      </w:r>
    </w:p>
    <w:p w14:paraId="402DD1F3" w14:textId="77777777" w:rsidR="00C95308" w:rsidRPr="00A107CB" w:rsidRDefault="00C95308" w:rsidP="00C95308">
      <w:pPr>
        <w:spacing w:line="360" w:lineRule="auto"/>
        <w:jc w:val="both"/>
        <w:rPr>
          <w:rFonts w:ascii="Arial" w:eastAsia="Arial" w:hAnsi="Arial" w:cs="Arial"/>
          <w:sz w:val="22"/>
          <w:szCs w:val="22"/>
        </w:rPr>
      </w:pPr>
    </w:p>
    <w:p w14:paraId="38DC1FCF" w14:textId="77777777" w:rsidR="00C95308" w:rsidRPr="00B908CF" w:rsidRDefault="00C95308" w:rsidP="00C95308">
      <w:pPr>
        <w:pStyle w:val="Descripcin"/>
        <w:keepNext/>
        <w:jc w:val="center"/>
        <w:rPr>
          <w:rFonts w:ascii="Arial" w:hAnsi="Arial" w:cs="Arial"/>
          <w:i w:val="0"/>
          <w:iCs w:val="0"/>
          <w:color w:val="auto"/>
          <w:sz w:val="22"/>
          <w:szCs w:val="22"/>
        </w:rPr>
      </w:pPr>
      <w:bookmarkStart w:id="73" w:name="_Toc229395926"/>
      <w:r w:rsidRPr="00B908CF">
        <w:rPr>
          <w:rFonts w:ascii="Arial" w:hAnsi="Arial" w:cs="Arial"/>
          <w:i w:val="0"/>
          <w:iCs w:val="0"/>
          <w:color w:val="auto"/>
          <w:sz w:val="22"/>
          <w:szCs w:val="22"/>
        </w:rPr>
        <w:t xml:space="preserve">Ilustración </w:t>
      </w:r>
      <w:r w:rsidRPr="00B908CF">
        <w:rPr>
          <w:rFonts w:ascii="Arial" w:hAnsi="Arial" w:cs="Arial"/>
          <w:i w:val="0"/>
          <w:iCs w:val="0"/>
          <w:color w:val="auto"/>
          <w:sz w:val="22"/>
          <w:szCs w:val="22"/>
        </w:rPr>
        <w:fldChar w:fldCharType="begin"/>
      </w:r>
      <w:r w:rsidRPr="00B908CF">
        <w:rPr>
          <w:rFonts w:ascii="Arial" w:hAnsi="Arial" w:cs="Arial"/>
          <w:i w:val="0"/>
          <w:iCs w:val="0"/>
          <w:color w:val="auto"/>
          <w:sz w:val="22"/>
          <w:szCs w:val="22"/>
        </w:rPr>
        <w:instrText xml:space="preserve"> SEQ Ilustración \* ARABIC </w:instrText>
      </w:r>
      <w:r w:rsidRPr="00B908CF">
        <w:rPr>
          <w:rFonts w:ascii="Arial" w:hAnsi="Arial" w:cs="Arial"/>
          <w:i w:val="0"/>
          <w:iCs w:val="0"/>
          <w:color w:val="auto"/>
          <w:sz w:val="22"/>
          <w:szCs w:val="22"/>
        </w:rPr>
        <w:fldChar w:fldCharType="separate"/>
      </w:r>
      <w:r w:rsidRPr="00B908CF">
        <w:rPr>
          <w:rFonts w:ascii="Arial" w:hAnsi="Arial" w:cs="Arial"/>
          <w:i w:val="0"/>
          <w:iCs w:val="0"/>
          <w:noProof/>
          <w:color w:val="auto"/>
          <w:sz w:val="22"/>
          <w:szCs w:val="22"/>
        </w:rPr>
        <w:t>8</w:t>
      </w:r>
      <w:r w:rsidRPr="00B908CF">
        <w:rPr>
          <w:rFonts w:ascii="Arial" w:hAnsi="Arial" w:cs="Arial"/>
          <w:i w:val="0"/>
          <w:iCs w:val="0"/>
          <w:color w:val="auto"/>
          <w:sz w:val="22"/>
          <w:szCs w:val="22"/>
        </w:rPr>
        <w:fldChar w:fldCharType="end"/>
      </w:r>
      <w:r w:rsidRPr="00B908CF">
        <w:rPr>
          <w:rFonts w:ascii="Arial" w:hAnsi="Arial" w:cs="Arial"/>
          <w:i w:val="0"/>
          <w:iCs w:val="0"/>
          <w:color w:val="auto"/>
          <w:sz w:val="22"/>
          <w:szCs w:val="22"/>
        </w:rPr>
        <w:t>: Patrimonio Coosalud EPS de 2021 a 2025 (cifras en millones pesos colombianos)</w:t>
      </w:r>
      <w:bookmarkEnd w:id="73"/>
    </w:p>
    <w:p w14:paraId="6FBD1B71" w14:textId="77777777" w:rsidR="00C95308" w:rsidRPr="00E812AF" w:rsidRDefault="00C95308" w:rsidP="00C95308">
      <w:r>
        <w:rPr>
          <w:noProof/>
        </w:rPr>
        <w:drawing>
          <wp:inline distT="0" distB="0" distL="0" distR="0" wp14:anchorId="1DDFAD87" wp14:editId="760E6CA1">
            <wp:extent cx="5953125" cy="3009900"/>
            <wp:effectExtent l="0" t="0" r="0" b="0"/>
            <wp:docPr id="10" name="Gráfico 10">
              <a:extLst xmlns:a="http://schemas.openxmlformats.org/drawingml/2006/main">
                <a:ext uri="{FF2B5EF4-FFF2-40B4-BE49-F238E27FC236}">
                  <a16:creationId xmlns:a16="http://schemas.microsoft.com/office/drawing/2014/main" id="{70583842-72BF-B2D9-712C-5D4D6D19AE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44D2B6AF" w14:textId="77777777" w:rsidR="00C95308" w:rsidRDefault="00C95308" w:rsidP="00C95308"/>
    <w:p w14:paraId="58841748" w14:textId="77777777" w:rsidR="00D05557" w:rsidRDefault="00D05557" w:rsidP="00D05557">
      <w:pPr>
        <w:spacing w:line="360" w:lineRule="auto"/>
        <w:jc w:val="both"/>
        <w:rPr>
          <w:rFonts w:ascii="Arial" w:eastAsia="Arial" w:hAnsi="Arial" w:cs="Arial"/>
          <w:sz w:val="16"/>
          <w:szCs w:val="16"/>
          <w:lang w:eastAsia="es-CO"/>
        </w:rPr>
      </w:pPr>
      <w:r>
        <w:rPr>
          <w:rFonts w:ascii="Arial" w:eastAsia="Arial" w:hAnsi="Arial" w:cs="Arial"/>
          <w:sz w:val="16"/>
          <w:szCs w:val="16"/>
          <w:lang w:eastAsia="es-CO"/>
        </w:rPr>
        <w:t xml:space="preserve">Fuente: </w:t>
      </w:r>
      <w:r w:rsidRPr="00EF0CE6">
        <w:rPr>
          <w:rFonts w:ascii="Arial" w:eastAsia="Arial" w:hAnsi="Arial" w:cs="Arial"/>
          <w:sz w:val="16"/>
          <w:szCs w:val="16"/>
          <w:lang w:eastAsia="es-CO"/>
        </w:rPr>
        <w:t xml:space="preserve">Catálogo de información financiera EPS del régimen contributivo y subsidiado consolidado a diciembre de 2025, disponible en el portal de Datos Abiertos de la Superintendencia Nacional de Salud: </w:t>
      </w:r>
      <w:hyperlink r:id="rId37" w:history="1">
        <w:r w:rsidRPr="006A5061">
          <w:rPr>
            <w:rStyle w:val="Hipervnculo"/>
            <w:rFonts w:ascii="Arial" w:eastAsia="Arial" w:hAnsi="Arial" w:cs="Arial"/>
            <w:sz w:val="16"/>
            <w:szCs w:val="16"/>
            <w:lang w:eastAsia="es-CO"/>
          </w:rPr>
          <w:t>https://mapas.supersalud.gov.co/arcgisportal/apps/sites/#/datos-abiertos/documents/760d95890d79460da9715b83b9d27933/about</w:t>
        </w:r>
      </w:hyperlink>
      <w:r>
        <w:rPr>
          <w:rFonts w:ascii="Arial" w:eastAsia="Arial" w:hAnsi="Arial" w:cs="Arial"/>
          <w:sz w:val="16"/>
          <w:szCs w:val="16"/>
          <w:lang w:eastAsia="es-CO"/>
        </w:rPr>
        <w:t>.</w:t>
      </w:r>
    </w:p>
    <w:p w14:paraId="2B7EE3B2" w14:textId="77777777" w:rsidR="00C95308" w:rsidRDefault="00C95308" w:rsidP="00C95308"/>
    <w:p w14:paraId="3DF1EA2C" w14:textId="77777777" w:rsidR="00C95308" w:rsidRPr="00E7374C" w:rsidRDefault="00C95308" w:rsidP="00C95308">
      <w:pPr>
        <w:spacing w:line="360" w:lineRule="auto"/>
        <w:jc w:val="both"/>
        <w:rPr>
          <w:rFonts w:ascii="Arial" w:hAnsi="Arial" w:cs="Arial"/>
          <w:sz w:val="22"/>
          <w:szCs w:val="22"/>
        </w:rPr>
      </w:pPr>
      <w:r w:rsidRPr="00E7374C">
        <w:rPr>
          <w:rFonts w:ascii="Arial" w:hAnsi="Arial" w:cs="Arial"/>
          <w:sz w:val="22"/>
          <w:szCs w:val="22"/>
        </w:rPr>
        <w:t xml:space="preserve">Como se observa en la gráfica, el patrimonio de COOSALUD EPS presentó valores positivos entre 2021 y 2023, aunque con señales de debilitamiento al final de este periodo. </w:t>
      </w:r>
      <w:r w:rsidRPr="00E7374C">
        <w:rPr>
          <w:rFonts w:ascii="Arial" w:hAnsi="Arial" w:cs="Arial"/>
          <w:sz w:val="22"/>
          <w:szCs w:val="22"/>
        </w:rPr>
        <w:lastRenderedPageBreak/>
        <w:t>En 2021 se ubicó en $300.431 millones, aumentó a $331.000 millones en 2022 y posteriormente descendió a $223.456 millones en 2023, lo que representa una reducción de 32,5% frente al año anterior. No obstante, el cambio más crítico se registra en 2024, cuando el patrimonio pasa a un saldo negativo de -$859.168 millones, evidenciando una pérdida de 484,5% frente a 2023. Esta situación se agrava de manera sustancial en 2025, cuando el patrimonio negativo asciende a -$3.718.114 millones, profundizando el deterioro en 332,8% respecto de 2024. En términos acumulados, entre 2021 y 2025 la variación del patrimonio fue de -$4.018.545 millones, lo que confirma el colapso de la base patrimonial de la entidad.</w:t>
      </w:r>
    </w:p>
    <w:p w14:paraId="04B170E8" w14:textId="77777777" w:rsidR="00C95308" w:rsidRPr="00E7374C" w:rsidRDefault="00C95308" w:rsidP="00C95308">
      <w:pPr>
        <w:spacing w:line="360" w:lineRule="auto"/>
        <w:jc w:val="both"/>
        <w:rPr>
          <w:rFonts w:ascii="Arial" w:hAnsi="Arial" w:cs="Arial"/>
          <w:sz w:val="22"/>
          <w:szCs w:val="22"/>
        </w:rPr>
      </w:pPr>
    </w:p>
    <w:p w14:paraId="26451C5F" w14:textId="77777777" w:rsidR="00C95308" w:rsidRPr="00E7374C" w:rsidRDefault="00C95308" w:rsidP="00C95308">
      <w:pPr>
        <w:spacing w:line="360" w:lineRule="auto"/>
        <w:jc w:val="both"/>
        <w:rPr>
          <w:rFonts w:ascii="Arial" w:hAnsi="Arial" w:cs="Arial"/>
          <w:sz w:val="22"/>
          <w:szCs w:val="22"/>
        </w:rPr>
      </w:pPr>
      <w:r w:rsidRPr="00E7374C">
        <w:rPr>
          <w:rFonts w:ascii="Arial" w:hAnsi="Arial" w:cs="Arial"/>
          <w:sz w:val="22"/>
          <w:szCs w:val="22"/>
        </w:rPr>
        <w:t>Desde una perspectiva financiera, el paso de un patrimonio positivo a un patrimonio negativo representa una señal de alta gravedad, en tanto indica que los pasivos superan ampliamente a los activos y que la entidad perdió su capacidad de respaldo patrimonial. En otras palabras, a partir de 2024 COOSALUD EPS entra en una situación de insuficiencia patrimonial, que se profundiza en 2025 y resulta consistente con el incremento acelerado del endeudamiento, el crecimiento de los pasivos y la acumulación de pérdidas observadas en otros componentes del análisis financiero. Este comportamiento refleja no solo un deterioro contable, sino una afectación estructural de la solvencia de la EPS, limitando su capacidad para responder adecuadamente a sus compromisos financieros y operacionales.</w:t>
      </w:r>
    </w:p>
    <w:p w14:paraId="445E22CE" w14:textId="77777777" w:rsidR="00C95308" w:rsidRPr="00E7374C" w:rsidRDefault="00C95308" w:rsidP="00C95308">
      <w:pPr>
        <w:spacing w:line="360" w:lineRule="auto"/>
        <w:jc w:val="both"/>
        <w:rPr>
          <w:rFonts w:ascii="Arial" w:hAnsi="Arial" w:cs="Arial"/>
          <w:sz w:val="22"/>
          <w:szCs w:val="22"/>
        </w:rPr>
      </w:pPr>
    </w:p>
    <w:p w14:paraId="6A6A1ED0" w14:textId="77777777" w:rsidR="00C95308" w:rsidRDefault="00C95308" w:rsidP="00C95308">
      <w:pPr>
        <w:spacing w:line="360" w:lineRule="auto"/>
        <w:jc w:val="both"/>
        <w:rPr>
          <w:rFonts w:ascii="Arial" w:hAnsi="Arial" w:cs="Arial"/>
          <w:sz w:val="22"/>
          <w:szCs w:val="22"/>
        </w:rPr>
      </w:pPr>
      <w:r w:rsidRPr="00A71F2D">
        <w:rPr>
          <w:rFonts w:ascii="Arial" w:hAnsi="Arial" w:cs="Arial"/>
          <w:sz w:val="22"/>
          <w:szCs w:val="22"/>
        </w:rPr>
        <w:t xml:space="preserve">En síntesis, la evolución del patrimonio de COOSALUD EPS evidencia un deterioro severo y sostenido de su estructura financiera, con pérdida total de la base patrimonial a partir de 2024 y una profundización crítica de esta situación en 2025. Este comportamiento constituye una señal de alerta mayor, en tanto refleja que la entidad dejó de contar con respaldo patrimonial suficiente para soportar sus obligaciones y los riesgos propios de la operación del aseguramiento en salud. Más allá de su expresión contable, el patrimonio negativo compromete la solvencia de la EPS, limita su capacidad de respuesta financiera y reduce su margen para sostener la operación bajo condiciones mínimas de estabilidad. En el marco del aseguramiento, esta situación puede traducirse en mayores dificultades para garantizar el flujo oportuno de recursos, mantener la suficiencia de la red prestadora y asegurar la continuidad y oportunidad en la atención de la población afiliada en Bogotá D. C. En consecuencia, el comportamiento de este indicador confirma un deterioro estructural </w:t>
      </w:r>
      <w:r w:rsidRPr="00A71F2D">
        <w:rPr>
          <w:rFonts w:ascii="Arial" w:hAnsi="Arial" w:cs="Arial"/>
          <w:sz w:val="22"/>
          <w:szCs w:val="22"/>
        </w:rPr>
        <w:lastRenderedPageBreak/>
        <w:t>de la viabilidad financiera de COOSALUD EPS y refuerza la necesidad de mantener un seguimiento estricto sobre su capacidad real de permanencia y cumplimiento.</w:t>
      </w:r>
    </w:p>
    <w:p w14:paraId="042CF393" w14:textId="77777777" w:rsidR="00C95308" w:rsidRDefault="00C95308" w:rsidP="00C95308">
      <w:pPr>
        <w:spacing w:line="360" w:lineRule="auto"/>
        <w:jc w:val="both"/>
        <w:rPr>
          <w:rFonts w:ascii="Arial" w:hAnsi="Arial" w:cs="Arial"/>
          <w:sz w:val="22"/>
          <w:szCs w:val="22"/>
        </w:rPr>
      </w:pPr>
    </w:p>
    <w:p w14:paraId="4B88F1FE" w14:textId="77777777" w:rsidR="00C95308" w:rsidRPr="00C2596A"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74" w:name="_Toc229397863"/>
      <w:r w:rsidRPr="00D97794">
        <w:rPr>
          <w:rFonts w:ascii="Arial" w:hAnsi="Arial" w:cs="Arial"/>
          <w:b/>
          <w:bCs/>
          <w:color w:val="auto"/>
          <w:sz w:val="22"/>
          <w:szCs w:val="22"/>
        </w:rPr>
        <w:t xml:space="preserve">Endeudamiento </w:t>
      </w:r>
      <w:r w:rsidRPr="00C2596A">
        <w:rPr>
          <w:rFonts w:ascii="Arial" w:hAnsi="Arial" w:cs="Arial"/>
          <w:b/>
          <w:bCs/>
          <w:color w:val="auto"/>
          <w:sz w:val="22"/>
          <w:szCs w:val="22"/>
        </w:rPr>
        <w:t>(2021–2025)</w:t>
      </w:r>
      <w:bookmarkEnd w:id="74"/>
    </w:p>
    <w:p w14:paraId="5FB881D3" w14:textId="77777777" w:rsidR="00C95308" w:rsidRDefault="00C95308" w:rsidP="00C95308">
      <w:pPr>
        <w:spacing w:line="360" w:lineRule="auto"/>
        <w:jc w:val="both"/>
        <w:rPr>
          <w:rFonts w:ascii="Arial" w:eastAsia="Arial" w:hAnsi="Arial" w:cs="Arial"/>
          <w:sz w:val="22"/>
          <w:szCs w:val="22"/>
        </w:rPr>
      </w:pPr>
      <w:r w:rsidRPr="00241C29">
        <w:rPr>
          <w:rFonts w:ascii="Arial" w:eastAsia="Arial" w:hAnsi="Arial" w:cs="Arial"/>
          <w:sz w:val="22"/>
          <w:szCs w:val="22"/>
        </w:rPr>
        <w:t xml:space="preserve"> </w:t>
      </w:r>
    </w:p>
    <w:p w14:paraId="445972B7" w14:textId="77777777" w:rsidR="00C95308" w:rsidRDefault="00C95308" w:rsidP="00C95308">
      <w:pPr>
        <w:spacing w:line="360" w:lineRule="auto"/>
        <w:jc w:val="both"/>
        <w:rPr>
          <w:rFonts w:ascii="Arial" w:hAnsi="Arial" w:cs="Arial"/>
          <w:sz w:val="22"/>
          <w:szCs w:val="22"/>
        </w:rPr>
      </w:pPr>
      <w:r w:rsidRPr="00F2446D">
        <w:rPr>
          <w:rFonts w:ascii="Arial" w:hAnsi="Arial" w:cs="Arial"/>
          <w:sz w:val="22"/>
          <w:szCs w:val="22"/>
        </w:rPr>
        <w:t>Con el propósito de evaluar la evolución del nivel de endeudamiento de COOSALUD EPS durante el periodo 2021–2025</w:t>
      </w:r>
      <w:r>
        <w:rPr>
          <w:rFonts w:ascii="Arial" w:hAnsi="Arial" w:cs="Arial"/>
          <w:sz w:val="22"/>
          <w:szCs w:val="22"/>
        </w:rPr>
        <w:t>. A</w:t>
      </w:r>
      <w:r w:rsidRPr="00F2446D">
        <w:rPr>
          <w:rFonts w:ascii="Arial" w:hAnsi="Arial" w:cs="Arial"/>
          <w:sz w:val="22"/>
          <w:szCs w:val="22"/>
        </w:rPr>
        <w:t xml:space="preserve"> continuación</w:t>
      </w:r>
      <w:r>
        <w:rPr>
          <w:rFonts w:ascii="Arial" w:hAnsi="Arial" w:cs="Arial"/>
          <w:sz w:val="22"/>
          <w:szCs w:val="22"/>
        </w:rPr>
        <w:t>,</w:t>
      </w:r>
      <w:r w:rsidRPr="00F2446D">
        <w:rPr>
          <w:rFonts w:ascii="Arial" w:hAnsi="Arial" w:cs="Arial"/>
          <w:sz w:val="22"/>
          <w:szCs w:val="22"/>
        </w:rPr>
        <w:t xml:space="preserve"> se presenta el comportamiento de este indicador, el cual permite establecer la proporción de los activos que se encuentra financiada con pasivos y, por tanto, valorar el grado de dependencia de la entidad frente a recursos de terceros. El análisis de este indicador es especialmente relevante en la medida en que da cuenta de la solidez financiera de la EPS, su capacidad de respaldo patrimonial y el riesgo asociado a la sostenibilidad de su operación. En términos generales, la gráfica evidencia un deterioro progresivo del endeudamiento, con una intensificación crítica a partir de 2024 y una profundización aún mayor en 2025.</w:t>
      </w:r>
    </w:p>
    <w:p w14:paraId="3692A202" w14:textId="77777777" w:rsidR="00C95308" w:rsidRPr="00241C29" w:rsidRDefault="00C95308" w:rsidP="00C95308">
      <w:pPr>
        <w:spacing w:line="360" w:lineRule="auto"/>
        <w:jc w:val="both"/>
        <w:rPr>
          <w:rFonts w:ascii="Arial" w:hAnsi="Arial" w:cs="Arial"/>
          <w:sz w:val="22"/>
          <w:szCs w:val="22"/>
        </w:rPr>
      </w:pPr>
    </w:p>
    <w:p w14:paraId="325E042A" w14:textId="77777777" w:rsidR="00C95308" w:rsidRPr="00241C29" w:rsidRDefault="00C95308" w:rsidP="00C95308">
      <w:pPr>
        <w:pStyle w:val="Descripcin"/>
        <w:spacing w:after="0" w:line="360" w:lineRule="auto"/>
        <w:jc w:val="center"/>
        <w:rPr>
          <w:rFonts w:ascii="Arial" w:eastAsia="Arial" w:hAnsi="Arial" w:cs="Arial"/>
          <w:i w:val="0"/>
          <w:iCs w:val="0"/>
          <w:color w:val="000000" w:themeColor="text1"/>
          <w:sz w:val="22"/>
          <w:szCs w:val="22"/>
        </w:rPr>
      </w:pPr>
      <w:bookmarkStart w:id="75" w:name="_Toc229395927"/>
      <w:r w:rsidRPr="00241C29">
        <w:rPr>
          <w:rFonts w:ascii="Arial" w:eastAsia="Arial" w:hAnsi="Arial" w:cs="Arial"/>
          <w:i w:val="0"/>
          <w:iCs w:val="0"/>
          <w:color w:val="000000" w:themeColor="text1"/>
          <w:sz w:val="22"/>
          <w:szCs w:val="22"/>
        </w:rPr>
        <w:t xml:space="preserve">Ilustración </w:t>
      </w:r>
      <w:r>
        <w:rPr>
          <w:rFonts w:ascii="Arial" w:eastAsia="Arial" w:hAnsi="Arial" w:cs="Arial"/>
          <w:i w:val="0"/>
          <w:iCs w:val="0"/>
          <w:color w:val="000000" w:themeColor="text1"/>
          <w:sz w:val="22"/>
          <w:szCs w:val="22"/>
        </w:rPr>
        <w:fldChar w:fldCharType="begin"/>
      </w:r>
      <w:r>
        <w:rPr>
          <w:rFonts w:ascii="Arial" w:eastAsia="Arial" w:hAnsi="Arial" w:cs="Arial"/>
          <w:i w:val="0"/>
          <w:iCs w:val="0"/>
          <w:color w:val="000000" w:themeColor="text1"/>
          <w:sz w:val="22"/>
          <w:szCs w:val="22"/>
        </w:rPr>
        <w:instrText xml:space="preserve"> SEQ Ilustración \* ARABIC </w:instrText>
      </w:r>
      <w:r>
        <w:rPr>
          <w:rFonts w:ascii="Arial" w:eastAsia="Arial" w:hAnsi="Arial" w:cs="Arial"/>
          <w:i w:val="0"/>
          <w:iCs w:val="0"/>
          <w:color w:val="000000" w:themeColor="text1"/>
          <w:sz w:val="22"/>
          <w:szCs w:val="22"/>
        </w:rPr>
        <w:fldChar w:fldCharType="separate"/>
      </w:r>
      <w:r>
        <w:rPr>
          <w:rFonts w:ascii="Arial" w:eastAsia="Arial" w:hAnsi="Arial" w:cs="Arial"/>
          <w:i w:val="0"/>
          <w:iCs w:val="0"/>
          <w:noProof/>
          <w:color w:val="000000" w:themeColor="text1"/>
          <w:sz w:val="22"/>
          <w:szCs w:val="22"/>
        </w:rPr>
        <w:t>9</w:t>
      </w:r>
      <w:r>
        <w:rPr>
          <w:rFonts w:ascii="Arial" w:eastAsia="Arial" w:hAnsi="Arial" w:cs="Arial"/>
          <w:i w:val="0"/>
          <w:iCs w:val="0"/>
          <w:color w:val="000000" w:themeColor="text1"/>
          <w:sz w:val="22"/>
          <w:szCs w:val="22"/>
        </w:rPr>
        <w:fldChar w:fldCharType="end"/>
      </w:r>
      <w:r w:rsidRPr="00241C29">
        <w:rPr>
          <w:rFonts w:ascii="Arial" w:eastAsia="Arial" w:hAnsi="Arial" w:cs="Arial"/>
          <w:i w:val="0"/>
          <w:iCs w:val="0"/>
          <w:color w:val="000000" w:themeColor="text1"/>
          <w:sz w:val="22"/>
          <w:szCs w:val="22"/>
        </w:rPr>
        <w:t>. Porcentaje de Endeudamiento</w:t>
      </w:r>
      <w:bookmarkEnd w:id="75"/>
    </w:p>
    <w:p w14:paraId="5BD28623" w14:textId="77777777" w:rsidR="00C95308" w:rsidRPr="00241C29" w:rsidRDefault="00C95308" w:rsidP="00C95308">
      <w:pPr>
        <w:spacing w:line="360" w:lineRule="auto"/>
        <w:jc w:val="both"/>
        <w:rPr>
          <w:rFonts w:ascii="Arial" w:hAnsi="Arial" w:cs="Arial"/>
          <w:sz w:val="22"/>
          <w:szCs w:val="22"/>
        </w:rPr>
      </w:pPr>
      <w:r>
        <w:rPr>
          <w:noProof/>
        </w:rPr>
        <w:drawing>
          <wp:inline distT="0" distB="0" distL="0" distR="0" wp14:anchorId="0497C16C" wp14:editId="38E6B1E5">
            <wp:extent cx="5612130" cy="2933700"/>
            <wp:effectExtent l="0" t="0" r="7620" b="0"/>
            <wp:docPr id="11" name="Gráfico 1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355AFA14" w14:textId="05613CCA" w:rsidR="00AA1F9D" w:rsidRDefault="00AA1F9D" w:rsidP="00C95308">
      <w:pPr>
        <w:spacing w:line="360" w:lineRule="auto"/>
        <w:jc w:val="both"/>
        <w:rPr>
          <w:rFonts w:ascii="Arial" w:hAnsi="Arial" w:cs="Arial"/>
          <w:color w:val="000000"/>
          <w:sz w:val="16"/>
          <w:szCs w:val="16"/>
          <w:lang w:eastAsia="es-CO"/>
        </w:rPr>
      </w:pPr>
      <w:r w:rsidRPr="00AA1F9D">
        <w:rPr>
          <w:rFonts w:ascii="Arial" w:hAnsi="Arial" w:cs="Arial"/>
          <w:color w:val="000000"/>
          <w:sz w:val="16"/>
          <w:szCs w:val="16"/>
          <w:lang w:eastAsia="es-CO"/>
        </w:rPr>
        <w:t xml:space="preserve">Fuente: Catálogo de información financiera EPS del régimen contributivo y subsidiado consolidado a diciembre de 2025, disponible en el portal de Datos Abiertos de la Superintendencia Nacional de Salud: </w:t>
      </w:r>
      <w:hyperlink r:id="rId39" w:history="1">
        <w:r w:rsidRPr="006A5061">
          <w:rPr>
            <w:rStyle w:val="Hipervnculo"/>
            <w:rFonts w:ascii="Arial" w:hAnsi="Arial" w:cs="Arial"/>
            <w:sz w:val="16"/>
            <w:szCs w:val="16"/>
            <w:lang w:eastAsia="es-CO"/>
          </w:rPr>
          <w:t>https://mapas.supersalud.gov.co/arcgisportal/apps/sites/#/datos-abiertos/documents/760d95890d79460da9715b83b9d27933/about</w:t>
        </w:r>
      </w:hyperlink>
      <w:r w:rsidRPr="00AA1F9D">
        <w:rPr>
          <w:rFonts w:ascii="Arial" w:hAnsi="Arial" w:cs="Arial"/>
          <w:color w:val="000000"/>
          <w:sz w:val="16"/>
          <w:szCs w:val="16"/>
          <w:lang w:eastAsia="es-CO"/>
        </w:rPr>
        <w:t>.</w:t>
      </w:r>
    </w:p>
    <w:p w14:paraId="6565A576" w14:textId="77777777" w:rsidR="00AA1F9D" w:rsidRDefault="00AA1F9D" w:rsidP="00C95308">
      <w:pPr>
        <w:spacing w:line="360" w:lineRule="auto"/>
        <w:jc w:val="both"/>
        <w:rPr>
          <w:rFonts w:ascii="Arial" w:hAnsi="Arial" w:cs="Arial"/>
          <w:color w:val="000000"/>
          <w:sz w:val="16"/>
          <w:szCs w:val="16"/>
          <w:lang w:eastAsia="es-CO"/>
        </w:rPr>
      </w:pPr>
    </w:p>
    <w:p w14:paraId="31E3D888" w14:textId="5D88D524" w:rsidR="0091682C" w:rsidRDefault="00C95308" w:rsidP="00C95308">
      <w:pPr>
        <w:spacing w:line="360" w:lineRule="auto"/>
        <w:jc w:val="both"/>
        <w:rPr>
          <w:rFonts w:ascii="Arial" w:hAnsi="Arial" w:cs="Arial"/>
          <w:sz w:val="22"/>
          <w:szCs w:val="22"/>
        </w:rPr>
      </w:pPr>
      <w:r w:rsidRPr="00056029">
        <w:rPr>
          <w:rFonts w:ascii="Arial" w:hAnsi="Arial" w:cs="Arial"/>
          <w:sz w:val="22"/>
          <w:szCs w:val="22"/>
        </w:rPr>
        <w:lastRenderedPageBreak/>
        <w:t xml:space="preserve">Como se observa en la gráfica, el indicador de endeudamiento de COOSALUD EPS presentó niveles altos desde el inicio del periodo analizado, al ubicarse en 75,02% en 2021, descender levemente a 70,55% en 2022 y aumentar nuevamente a 79,05% en 2023. Aunque entre 2021 y 2023 el comportamiento mostró oscilaciones moderadas, la situación cambia de manera abrupta en 2024, cuando el endeudamiento asciende a 144,24%, lo que representa un incremento de 65,19 puntos porcentuales frente al año anterior. </w:t>
      </w:r>
    </w:p>
    <w:p w14:paraId="6B1CD989" w14:textId="77777777" w:rsidR="0091682C" w:rsidRDefault="0091682C" w:rsidP="00C95308">
      <w:pPr>
        <w:spacing w:line="360" w:lineRule="auto"/>
        <w:jc w:val="both"/>
        <w:rPr>
          <w:rFonts w:ascii="Arial" w:hAnsi="Arial" w:cs="Arial"/>
          <w:sz w:val="22"/>
          <w:szCs w:val="22"/>
        </w:rPr>
      </w:pPr>
    </w:p>
    <w:p w14:paraId="42157DCA" w14:textId="0CF69773" w:rsidR="00C95308" w:rsidRPr="00056029" w:rsidRDefault="00C95308" w:rsidP="00C95308">
      <w:pPr>
        <w:spacing w:line="360" w:lineRule="auto"/>
        <w:jc w:val="both"/>
        <w:rPr>
          <w:rFonts w:ascii="Arial" w:hAnsi="Arial" w:cs="Arial"/>
          <w:sz w:val="22"/>
          <w:szCs w:val="22"/>
        </w:rPr>
      </w:pPr>
      <w:r w:rsidRPr="00056029">
        <w:rPr>
          <w:rFonts w:ascii="Arial" w:hAnsi="Arial" w:cs="Arial"/>
          <w:sz w:val="22"/>
          <w:szCs w:val="22"/>
        </w:rPr>
        <w:t>Esta tendencia se agrava en 2025, cuando el indicador alcanza 227,50%, con un aumento adicional de 83,26 puntos porcentuales respecto de 2024. En términos acumulados, entre 2021 y 2025 el endeudamiento aumentó 152,48 puntos porcentuales, equivalente a una variación relativa de 203,3%, lo que evidencia un deterioro acelerado de la estructura financiera de la entidad.</w:t>
      </w:r>
    </w:p>
    <w:p w14:paraId="4D8782C0" w14:textId="77777777" w:rsidR="00C95308" w:rsidRPr="00056029" w:rsidRDefault="00C95308" w:rsidP="00C95308">
      <w:pPr>
        <w:spacing w:line="360" w:lineRule="auto"/>
        <w:jc w:val="both"/>
        <w:rPr>
          <w:rFonts w:ascii="Arial" w:hAnsi="Arial" w:cs="Arial"/>
          <w:sz w:val="22"/>
          <w:szCs w:val="22"/>
        </w:rPr>
      </w:pPr>
    </w:p>
    <w:p w14:paraId="3C5CB8C1" w14:textId="77777777" w:rsidR="0091682C" w:rsidRDefault="00C95308" w:rsidP="00C95308">
      <w:pPr>
        <w:spacing w:line="360" w:lineRule="auto"/>
        <w:jc w:val="both"/>
        <w:rPr>
          <w:rFonts w:ascii="Arial" w:hAnsi="Arial" w:cs="Arial"/>
          <w:sz w:val="22"/>
          <w:szCs w:val="22"/>
        </w:rPr>
      </w:pPr>
      <w:r w:rsidRPr="00056029">
        <w:rPr>
          <w:rFonts w:ascii="Arial" w:hAnsi="Arial" w:cs="Arial"/>
          <w:sz w:val="22"/>
          <w:szCs w:val="22"/>
        </w:rPr>
        <w:t xml:space="preserve">Desde una perspectiva financiera, el comportamiento observado resulta altamente crítico, particularmente a partir de 2024, cuando el indicador supera el umbral del 100%, lo que significa que el total de los pasivos excede el valor de los activos. En otras palabras, desde ese momento la entidad deja de contar con respaldo patrimonial suficiente para cubrir sus obligaciones, configurando una situación de desequilibrio estructural. </w:t>
      </w:r>
    </w:p>
    <w:p w14:paraId="4D8E07D2" w14:textId="77777777" w:rsidR="0091682C" w:rsidRDefault="0091682C" w:rsidP="00C95308">
      <w:pPr>
        <w:spacing w:line="360" w:lineRule="auto"/>
        <w:jc w:val="both"/>
        <w:rPr>
          <w:rFonts w:ascii="Arial" w:hAnsi="Arial" w:cs="Arial"/>
          <w:sz w:val="22"/>
          <w:szCs w:val="22"/>
        </w:rPr>
      </w:pPr>
    </w:p>
    <w:p w14:paraId="62AFEDD1" w14:textId="4C289FFA" w:rsidR="00C95308" w:rsidRPr="00056029" w:rsidRDefault="00C95308" w:rsidP="00C95308">
      <w:pPr>
        <w:spacing w:line="360" w:lineRule="auto"/>
        <w:jc w:val="both"/>
        <w:rPr>
          <w:rFonts w:ascii="Arial" w:hAnsi="Arial" w:cs="Arial"/>
          <w:sz w:val="22"/>
          <w:szCs w:val="22"/>
        </w:rPr>
      </w:pPr>
      <w:r w:rsidRPr="00056029">
        <w:rPr>
          <w:rFonts w:ascii="Arial" w:hAnsi="Arial" w:cs="Arial"/>
          <w:sz w:val="22"/>
          <w:szCs w:val="22"/>
        </w:rPr>
        <w:t>Para 2025, el nivel de endeudamiento de 227,50% indica que por cada $100 de activos, COOSALUD EPS registraba $227,50 en pasivos, situación que refleja una dependencia extrema de recursos de terceros y una insuficiencia patrimonial severa. Este comportamiento es consistente con el aumento acelerado de los pasivos, el deterioro del patrimonio y la profundización de las pérdidas acumuladas observadas en otros componentes del análisis financiero.</w:t>
      </w:r>
    </w:p>
    <w:p w14:paraId="1243649D" w14:textId="77777777" w:rsidR="00C95308" w:rsidRDefault="00C95308" w:rsidP="00C95308">
      <w:pPr>
        <w:spacing w:line="360" w:lineRule="auto"/>
        <w:jc w:val="both"/>
        <w:rPr>
          <w:rFonts w:ascii="Arial" w:hAnsi="Arial" w:cs="Arial"/>
          <w:sz w:val="22"/>
          <w:szCs w:val="22"/>
        </w:rPr>
      </w:pPr>
    </w:p>
    <w:p w14:paraId="3E778DE9" w14:textId="77777777" w:rsidR="00C95308" w:rsidRDefault="00C95308" w:rsidP="00C95308">
      <w:pPr>
        <w:spacing w:line="360" w:lineRule="auto"/>
        <w:jc w:val="both"/>
        <w:rPr>
          <w:rFonts w:ascii="Arial" w:hAnsi="Arial" w:cs="Arial"/>
          <w:sz w:val="22"/>
          <w:szCs w:val="22"/>
        </w:rPr>
      </w:pPr>
      <w:r w:rsidRPr="000944EB">
        <w:rPr>
          <w:rFonts w:ascii="Arial" w:hAnsi="Arial" w:cs="Arial"/>
          <w:sz w:val="22"/>
          <w:szCs w:val="22"/>
        </w:rPr>
        <w:t xml:space="preserve">En síntesis, la evolución del endeudamiento de COOSALUD EPS evidencia un deterioro severo y sostenido de su solvencia financiera, con una profundización crítica del riesgo a partir de 2024. El hecho de que este indicador haya superado ampliamente el 100% desde ese año y alcanzado 227,50% en 2025 refleja que la entidad registra obligaciones muy superiores a su capacidad de respaldo en activos, configurando una situación de desequilibrio financiero estructural. Más allá de su expresión contable, este nivel de endeudamiento compromete la estabilidad de la EPS, incrementa su dependencia de </w:t>
      </w:r>
      <w:r w:rsidRPr="000944EB">
        <w:rPr>
          <w:rFonts w:ascii="Arial" w:hAnsi="Arial" w:cs="Arial"/>
          <w:sz w:val="22"/>
          <w:szCs w:val="22"/>
        </w:rPr>
        <w:lastRenderedPageBreak/>
        <w:t>recursos de terceros y reduce de manera significativa su capacidad para responder oportunamente a sus compromisos operacionales. En el marco del aseguramiento en salud, esta situación puede traducirse en mayores dificultades para garantizar el flujo adecuado de recursos hacia la red prestadora, aumento de tensiones de liquidez, afectación en la continuidad de la atención y mayor riesgo para la prestación efectiva de los servicios de salud a la población afiliada en Bogotá D. C. En consecuencia, el comportamiento de este indicador constituye una señal de alerta mayor sobre la viabilidad financiera de COOSALUD EPS y refuerza la necesidad de mantener un seguimiento estricto sobre su capacidad real de permanencia y cumplimiento.</w:t>
      </w:r>
    </w:p>
    <w:p w14:paraId="0B8C0A4D" w14:textId="77777777" w:rsidR="00C95308" w:rsidRDefault="00C95308" w:rsidP="00C95308">
      <w:pPr>
        <w:spacing w:line="360" w:lineRule="auto"/>
        <w:jc w:val="both"/>
        <w:rPr>
          <w:rFonts w:ascii="Arial" w:hAnsi="Arial" w:cs="Arial"/>
          <w:sz w:val="22"/>
          <w:szCs w:val="22"/>
        </w:rPr>
      </w:pPr>
    </w:p>
    <w:p w14:paraId="1673D99B" w14:textId="77777777" w:rsidR="00C95308" w:rsidRPr="00D97794" w:rsidRDefault="00C95308" w:rsidP="00C95308">
      <w:pPr>
        <w:pStyle w:val="Ttulo2"/>
        <w:numPr>
          <w:ilvl w:val="1"/>
          <w:numId w:val="9"/>
        </w:numPr>
        <w:tabs>
          <w:tab w:val="num" w:pos="360"/>
        </w:tabs>
        <w:spacing w:before="0" w:line="360" w:lineRule="auto"/>
        <w:ind w:left="0" w:firstLine="0"/>
        <w:jc w:val="both"/>
        <w:rPr>
          <w:rFonts w:ascii="Arial" w:hAnsi="Arial" w:cs="Arial"/>
          <w:b/>
          <w:bCs/>
          <w:color w:val="auto"/>
          <w:sz w:val="22"/>
          <w:szCs w:val="22"/>
        </w:rPr>
      </w:pPr>
      <w:bookmarkStart w:id="76" w:name="_Toc229397864"/>
      <w:r w:rsidRPr="00D97794">
        <w:rPr>
          <w:rFonts w:ascii="Arial" w:hAnsi="Arial" w:cs="Arial"/>
          <w:b/>
          <w:bCs/>
          <w:color w:val="auto"/>
          <w:sz w:val="22"/>
          <w:szCs w:val="22"/>
        </w:rPr>
        <w:t xml:space="preserve">Siniestralidad </w:t>
      </w:r>
      <w:r>
        <w:rPr>
          <w:rFonts w:ascii="Arial" w:hAnsi="Arial" w:cs="Arial"/>
          <w:b/>
          <w:bCs/>
          <w:color w:val="auto"/>
          <w:sz w:val="22"/>
          <w:szCs w:val="22"/>
        </w:rPr>
        <w:t>(enero a diciembre de 2025)</w:t>
      </w:r>
      <w:bookmarkEnd w:id="76"/>
    </w:p>
    <w:p w14:paraId="756FDA89" w14:textId="77777777" w:rsidR="00C95308" w:rsidRPr="00241C29" w:rsidRDefault="00C95308" w:rsidP="00C95308">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64369246" w14:textId="77777777" w:rsidR="0091682C" w:rsidRDefault="00C95308" w:rsidP="00C95308">
      <w:pPr>
        <w:spacing w:line="360" w:lineRule="auto"/>
        <w:jc w:val="both"/>
        <w:rPr>
          <w:rFonts w:ascii="Arial" w:eastAsia="Arial" w:hAnsi="Arial" w:cs="Arial"/>
          <w:sz w:val="22"/>
          <w:szCs w:val="22"/>
        </w:rPr>
      </w:pPr>
      <w:r w:rsidRPr="00771A98">
        <w:rPr>
          <w:rFonts w:ascii="Arial" w:hAnsi="Arial" w:cs="Arial"/>
          <w:sz w:val="22"/>
          <w:szCs w:val="22"/>
        </w:rPr>
        <w:t>En esta sección se analiza el indicador de siniestralidad como una medida clave del equilibrio técnico-financiero de la EPS, al relacionar el costo de los servicios y tecnologías en salud financiados con los ingresos recibidos por Unidad de Pago por Capitación (UPC). Su seguimiento permite identificar tensiones sobre la sostenibilidad, la constitución de reservas y el flujo de recursos hacia la red prestadora.</w:t>
      </w:r>
      <w:r>
        <w:rPr>
          <w:rFonts w:ascii="Arial" w:hAnsi="Arial" w:cs="Arial"/>
          <w:sz w:val="22"/>
          <w:szCs w:val="22"/>
        </w:rPr>
        <w:t xml:space="preserve">  Ahora bien, c</w:t>
      </w:r>
      <w:r w:rsidRPr="00CC098D">
        <w:rPr>
          <w:rFonts w:ascii="Arial" w:eastAsia="Arial" w:hAnsi="Arial" w:cs="Arial"/>
          <w:sz w:val="22"/>
          <w:szCs w:val="22"/>
        </w:rPr>
        <w:t>on el fin de analizar el comportamiento mensual del indicador objeto de seguimiento durante la vigencia 2025</w:t>
      </w:r>
      <w:r>
        <w:rPr>
          <w:rFonts w:ascii="Arial" w:eastAsia="Arial" w:hAnsi="Arial" w:cs="Arial"/>
          <w:sz w:val="22"/>
          <w:szCs w:val="22"/>
        </w:rPr>
        <w:t xml:space="preserve">. </w:t>
      </w:r>
    </w:p>
    <w:p w14:paraId="500A46A5" w14:textId="77777777" w:rsidR="0091682C" w:rsidRDefault="0091682C" w:rsidP="00C95308">
      <w:pPr>
        <w:spacing w:line="360" w:lineRule="auto"/>
        <w:jc w:val="both"/>
        <w:rPr>
          <w:rFonts w:ascii="Arial" w:eastAsia="Arial" w:hAnsi="Arial" w:cs="Arial"/>
          <w:sz w:val="22"/>
          <w:szCs w:val="22"/>
        </w:rPr>
      </w:pPr>
    </w:p>
    <w:p w14:paraId="5F1FA1B2" w14:textId="1C9660BF" w:rsidR="00C95308" w:rsidRDefault="00C95308" w:rsidP="00C95308">
      <w:pPr>
        <w:spacing w:line="360" w:lineRule="auto"/>
        <w:jc w:val="both"/>
        <w:rPr>
          <w:rFonts w:ascii="Arial" w:eastAsia="Arial" w:hAnsi="Arial" w:cs="Arial"/>
          <w:sz w:val="22"/>
          <w:szCs w:val="22"/>
        </w:rPr>
      </w:pPr>
      <w:r>
        <w:rPr>
          <w:rFonts w:ascii="Arial" w:eastAsia="Arial" w:hAnsi="Arial" w:cs="Arial"/>
          <w:sz w:val="22"/>
          <w:szCs w:val="22"/>
        </w:rPr>
        <w:t xml:space="preserve">A </w:t>
      </w:r>
      <w:r w:rsidRPr="00CC098D">
        <w:rPr>
          <w:rFonts w:ascii="Arial" w:eastAsia="Arial" w:hAnsi="Arial" w:cs="Arial"/>
          <w:sz w:val="22"/>
          <w:szCs w:val="22"/>
        </w:rPr>
        <w:t>continuación, se presenta su evolución entre enero y diciembre. La gráfica permite identificar la tendencia general, los cambios más relevantes a lo largo del año y los momentos en los que se observa una mayor presión o variación del indicador. En términos generales, se evidencia un comportamiento fluctuante durante el primer semestre, seguido de una tendencia ascendente sostenida en el segundo semestre, con cierre en el valor más alto de toda la serie.</w:t>
      </w:r>
    </w:p>
    <w:p w14:paraId="078766D8" w14:textId="77777777" w:rsidR="0091682C" w:rsidRDefault="0091682C" w:rsidP="00C95308">
      <w:pPr>
        <w:spacing w:line="360" w:lineRule="auto"/>
        <w:jc w:val="both"/>
        <w:rPr>
          <w:rFonts w:ascii="Arial" w:eastAsia="Arial" w:hAnsi="Arial" w:cs="Arial"/>
          <w:sz w:val="22"/>
          <w:szCs w:val="22"/>
        </w:rPr>
      </w:pPr>
    </w:p>
    <w:p w14:paraId="25966E5F" w14:textId="77777777" w:rsidR="0091682C" w:rsidRDefault="0091682C" w:rsidP="00C95308">
      <w:pPr>
        <w:spacing w:line="360" w:lineRule="auto"/>
        <w:jc w:val="both"/>
        <w:rPr>
          <w:rFonts w:ascii="Arial" w:eastAsia="Arial" w:hAnsi="Arial" w:cs="Arial"/>
          <w:sz w:val="22"/>
          <w:szCs w:val="22"/>
        </w:rPr>
      </w:pPr>
    </w:p>
    <w:p w14:paraId="0525EA74" w14:textId="77777777" w:rsidR="0091682C" w:rsidRDefault="0091682C" w:rsidP="00C95308">
      <w:pPr>
        <w:spacing w:line="360" w:lineRule="auto"/>
        <w:jc w:val="both"/>
        <w:rPr>
          <w:rFonts w:ascii="Arial" w:eastAsia="Arial" w:hAnsi="Arial" w:cs="Arial"/>
          <w:sz w:val="22"/>
          <w:szCs w:val="22"/>
        </w:rPr>
      </w:pPr>
    </w:p>
    <w:p w14:paraId="3403EBDE" w14:textId="77777777" w:rsidR="0091682C" w:rsidRDefault="0091682C" w:rsidP="00C95308">
      <w:pPr>
        <w:spacing w:line="360" w:lineRule="auto"/>
        <w:jc w:val="both"/>
        <w:rPr>
          <w:rFonts w:ascii="Arial" w:eastAsia="Arial" w:hAnsi="Arial" w:cs="Arial"/>
          <w:sz w:val="22"/>
          <w:szCs w:val="22"/>
        </w:rPr>
      </w:pPr>
    </w:p>
    <w:p w14:paraId="43EF0883" w14:textId="77777777" w:rsidR="0091682C" w:rsidRDefault="0091682C" w:rsidP="00C95308">
      <w:pPr>
        <w:spacing w:line="360" w:lineRule="auto"/>
        <w:jc w:val="both"/>
        <w:rPr>
          <w:rFonts w:ascii="Arial" w:eastAsia="Arial" w:hAnsi="Arial" w:cs="Arial"/>
          <w:sz w:val="22"/>
          <w:szCs w:val="22"/>
        </w:rPr>
      </w:pPr>
    </w:p>
    <w:p w14:paraId="43C1ADCB" w14:textId="77777777" w:rsidR="0091682C" w:rsidRDefault="0091682C" w:rsidP="00C95308">
      <w:pPr>
        <w:spacing w:line="360" w:lineRule="auto"/>
        <w:jc w:val="both"/>
        <w:rPr>
          <w:rFonts w:ascii="Arial" w:eastAsia="Arial" w:hAnsi="Arial" w:cs="Arial"/>
          <w:sz w:val="22"/>
          <w:szCs w:val="22"/>
        </w:rPr>
      </w:pPr>
    </w:p>
    <w:p w14:paraId="0E783779" w14:textId="77777777" w:rsidR="0091682C" w:rsidRPr="00814FE0" w:rsidRDefault="0091682C" w:rsidP="00C95308">
      <w:pPr>
        <w:spacing w:line="360" w:lineRule="auto"/>
        <w:jc w:val="both"/>
        <w:rPr>
          <w:rFonts w:ascii="Arial" w:hAnsi="Arial" w:cs="Arial"/>
          <w:sz w:val="22"/>
          <w:szCs w:val="22"/>
        </w:rPr>
      </w:pPr>
    </w:p>
    <w:p w14:paraId="5B8B011B" w14:textId="77777777" w:rsidR="00C95308" w:rsidRPr="00241C29" w:rsidRDefault="00C95308" w:rsidP="00C95308">
      <w:pPr>
        <w:pStyle w:val="Descripcin"/>
        <w:spacing w:after="0" w:line="360" w:lineRule="auto"/>
        <w:jc w:val="center"/>
        <w:rPr>
          <w:rFonts w:ascii="Arial" w:eastAsia="Arial" w:hAnsi="Arial" w:cs="Arial"/>
          <w:i w:val="0"/>
          <w:iCs w:val="0"/>
          <w:color w:val="000000" w:themeColor="text1"/>
          <w:sz w:val="22"/>
          <w:szCs w:val="22"/>
        </w:rPr>
      </w:pPr>
      <w:bookmarkStart w:id="77" w:name="_Toc229395928"/>
      <w:r w:rsidRPr="00241C29">
        <w:rPr>
          <w:rFonts w:ascii="Arial" w:eastAsia="Arial" w:hAnsi="Arial" w:cs="Arial"/>
          <w:i w:val="0"/>
          <w:iCs w:val="0"/>
          <w:color w:val="000000" w:themeColor="text1"/>
          <w:sz w:val="22"/>
          <w:szCs w:val="22"/>
        </w:rPr>
        <w:t xml:space="preserve">Ilustración </w:t>
      </w:r>
      <w:r>
        <w:rPr>
          <w:rFonts w:ascii="Arial" w:eastAsia="Arial" w:hAnsi="Arial" w:cs="Arial"/>
          <w:i w:val="0"/>
          <w:iCs w:val="0"/>
          <w:color w:val="000000" w:themeColor="text1"/>
          <w:sz w:val="22"/>
          <w:szCs w:val="22"/>
        </w:rPr>
        <w:fldChar w:fldCharType="begin"/>
      </w:r>
      <w:r>
        <w:rPr>
          <w:rFonts w:ascii="Arial" w:eastAsia="Arial" w:hAnsi="Arial" w:cs="Arial"/>
          <w:i w:val="0"/>
          <w:iCs w:val="0"/>
          <w:color w:val="000000" w:themeColor="text1"/>
          <w:sz w:val="22"/>
          <w:szCs w:val="22"/>
        </w:rPr>
        <w:instrText xml:space="preserve"> SEQ Ilustración \* ARABIC </w:instrText>
      </w:r>
      <w:r>
        <w:rPr>
          <w:rFonts w:ascii="Arial" w:eastAsia="Arial" w:hAnsi="Arial" w:cs="Arial"/>
          <w:i w:val="0"/>
          <w:iCs w:val="0"/>
          <w:color w:val="000000" w:themeColor="text1"/>
          <w:sz w:val="22"/>
          <w:szCs w:val="22"/>
        </w:rPr>
        <w:fldChar w:fldCharType="separate"/>
      </w:r>
      <w:r>
        <w:rPr>
          <w:rFonts w:ascii="Arial" w:eastAsia="Arial" w:hAnsi="Arial" w:cs="Arial"/>
          <w:i w:val="0"/>
          <w:iCs w:val="0"/>
          <w:noProof/>
          <w:color w:val="000000" w:themeColor="text1"/>
          <w:sz w:val="22"/>
          <w:szCs w:val="22"/>
        </w:rPr>
        <w:t>10</w:t>
      </w:r>
      <w:r>
        <w:rPr>
          <w:rFonts w:ascii="Arial" w:eastAsia="Arial" w:hAnsi="Arial" w:cs="Arial"/>
          <w:i w:val="0"/>
          <w:iCs w:val="0"/>
          <w:color w:val="000000" w:themeColor="text1"/>
          <w:sz w:val="22"/>
          <w:szCs w:val="22"/>
        </w:rPr>
        <w:fldChar w:fldCharType="end"/>
      </w:r>
      <w:r w:rsidRPr="00241C29">
        <w:rPr>
          <w:rFonts w:ascii="Arial" w:eastAsia="Arial" w:hAnsi="Arial" w:cs="Arial"/>
          <w:i w:val="0"/>
          <w:iCs w:val="0"/>
          <w:color w:val="000000" w:themeColor="text1"/>
          <w:sz w:val="22"/>
          <w:szCs w:val="22"/>
        </w:rPr>
        <w:t>. Siniestralidad,</w:t>
      </w:r>
      <w:r>
        <w:rPr>
          <w:rFonts w:ascii="Arial" w:eastAsia="Arial" w:hAnsi="Arial" w:cs="Arial"/>
          <w:i w:val="0"/>
          <w:iCs w:val="0"/>
          <w:color w:val="000000" w:themeColor="text1"/>
          <w:sz w:val="22"/>
          <w:szCs w:val="22"/>
        </w:rPr>
        <w:t xml:space="preserve"> COOSALUD EPS (ene-dic 2025)</w:t>
      </w:r>
      <w:bookmarkEnd w:id="77"/>
    </w:p>
    <w:p w14:paraId="7EB641AC" w14:textId="77777777" w:rsidR="00C95308" w:rsidRPr="00241C29" w:rsidRDefault="00C95308" w:rsidP="00C95308">
      <w:pPr>
        <w:spacing w:line="360" w:lineRule="auto"/>
        <w:jc w:val="both"/>
        <w:rPr>
          <w:rFonts w:ascii="Arial" w:hAnsi="Arial" w:cs="Arial"/>
          <w:sz w:val="22"/>
          <w:szCs w:val="22"/>
        </w:rPr>
      </w:pPr>
      <w:r>
        <w:rPr>
          <w:noProof/>
        </w:rPr>
        <w:lastRenderedPageBreak/>
        <w:drawing>
          <wp:inline distT="0" distB="0" distL="0" distR="0" wp14:anchorId="620F3833" wp14:editId="7CEBF695">
            <wp:extent cx="5981700" cy="2647950"/>
            <wp:effectExtent l="0" t="0" r="0" b="0"/>
            <wp:docPr id="12" name="Gráfico 12">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44FBFC97" w14:textId="04E0C6D1" w:rsidR="0018759B" w:rsidRDefault="00C95308" w:rsidP="00C95308">
      <w:pPr>
        <w:jc w:val="both"/>
        <w:textAlignment w:val="baseline"/>
        <w:rPr>
          <w:rFonts w:ascii="Arial" w:hAnsi="Arial" w:cs="Arial"/>
          <w:color w:val="000000"/>
          <w:sz w:val="16"/>
          <w:szCs w:val="16"/>
          <w:lang w:eastAsia="es-CO"/>
        </w:rPr>
      </w:pPr>
      <w:r w:rsidRPr="009031ED">
        <w:rPr>
          <w:rFonts w:ascii="Arial" w:hAnsi="Arial" w:cs="Arial"/>
          <w:color w:val="000000"/>
          <w:sz w:val="16"/>
          <w:szCs w:val="16"/>
          <w:lang w:eastAsia="es-CO"/>
        </w:rPr>
        <w:t xml:space="preserve">Fuente: </w:t>
      </w:r>
      <w:r w:rsidR="0018759B" w:rsidRPr="0018759B">
        <w:rPr>
          <w:rFonts w:ascii="Arial" w:hAnsi="Arial" w:cs="Arial"/>
          <w:color w:val="000000"/>
          <w:sz w:val="16"/>
          <w:szCs w:val="16"/>
          <w:lang w:eastAsia="es-CO"/>
        </w:rPr>
        <w:t xml:space="preserve">Catálogo de información financiera EPS del régimen contributivo y subsidiado consolidado a diciembre de 2025, disponible en el portal de Datos Abiertos de la Superintendencia Nacional de Salud: </w:t>
      </w:r>
      <w:hyperlink r:id="rId41" w:history="1">
        <w:r w:rsidR="0018759B" w:rsidRPr="006A5061">
          <w:rPr>
            <w:rStyle w:val="Hipervnculo"/>
            <w:rFonts w:ascii="Arial" w:hAnsi="Arial" w:cs="Arial"/>
            <w:sz w:val="16"/>
            <w:szCs w:val="16"/>
            <w:lang w:eastAsia="es-CO"/>
          </w:rPr>
          <w:t>https://mapas.supersalud.gov.co/arcgisportal/apps/sites/#/datos-abiertos/documents/760d95890d79460da9715b83b9d27933/about</w:t>
        </w:r>
      </w:hyperlink>
    </w:p>
    <w:p w14:paraId="31024DA9" w14:textId="3EB1C5BF" w:rsidR="00C95308" w:rsidRPr="009031ED" w:rsidRDefault="0018759B" w:rsidP="00C95308">
      <w:pPr>
        <w:jc w:val="both"/>
        <w:textAlignment w:val="baseline"/>
        <w:rPr>
          <w:rFonts w:ascii="Arial" w:hAnsi="Arial" w:cs="Arial"/>
          <w:color w:val="000000"/>
          <w:sz w:val="16"/>
          <w:szCs w:val="16"/>
          <w:lang w:eastAsia="es-CO"/>
        </w:rPr>
      </w:pPr>
      <w:r w:rsidRPr="0018759B">
        <w:rPr>
          <w:rFonts w:ascii="Arial" w:hAnsi="Arial" w:cs="Arial"/>
          <w:color w:val="000000"/>
          <w:sz w:val="16"/>
          <w:szCs w:val="16"/>
          <w:lang w:eastAsia="es-CO"/>
        </w:rPr>
        <w:t>.</w:t>
      </w:r>
    </w:p>
    <w:p w14:paraId="406A0EB5" w14:textId="77777777" w:rsidR="00C95308" w:rsidRPr="00241C29" w:rsidRDefault="00C95308" w:rsidP="00C95308">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3FC30614" w14:textId="77777777" w:rsidR="00C95308" w:rsidRPr="00CC098D" w:rsidRDefault="00C95308" w:rsidP="00C95308">
      <w:pPr>
        <w:spacing w:line="360" w:lineRule="auto"/>
        <w:jc w:val="both"/>
        <w:rPr>
          <w:rFonts w:ascii="Arial" w:eastAsia="Arial" w:hAnsi="Arial" w:cs="Arial"/>
          <w:sz w:val="22"/>
          <w:szCs w:val="22"/>
        </w:rPr>
      </w:pPr>
      <w:r w:rsidRPr="00CC098D">
        <w:rPr>
          <w:rFonts w:ascii="Arial" w:eastAsia="Arial" w:hAnsi="Arial" w:cs="Arial"/>
          <w:sz w:val="22"/>
          <w:szCs w:val="22"/>
        </w:rPr>
        <w:t>Como se observa en la gráfica, el indicador inició en enero de 2025 con 95,10%, aumentó en febrero a 105,03% y alcanzó 108,19% en marzo; posteriormente descendió a 100,76% en abril y a 95,03% en mayo, ubicándose nuevamente por debajo del umbral del 100%. A partir de junio se presenta un cambio claro de tendencia, con un incremento a 118,46%, seguido de variaciones positivas sucesivas en julio (119,08%), agosto (119,71%), septiembre (124,66%), octubre (126,78%), noviembre (127,68%) y diciembre (132,17%). En consecuencia, el segundo semestre muestra una trayectoria de crecimiento sostenido y sin retrocesos, lo que contrasta con la inestabilidad observada en los primeros cinco meses del año.</w:t>
      </w:r>
    </w:p>
    <w:p w14:paraId="37CCFC51" w14:textId="77777777" w:rsidR="00C95308" w:rsidRPr="00CC098D" w:rsidRDefault="00C95308" w:rsidP="00C95308">
      <w:pPr>
        <w:spacing w:line="360" w:lineRule="auto"/>
        <w:jc w:val="both"/>
        <w:rPr>
          <w:rFonts w:ascii="Arial" w:eastAsia="Arial" w:hAnsi="Arial" w:cs="Arial"/>
          <w:sz w:val="22"/>
          <w:szCs w:val="22"/>
        </w:rPr>
      </w:pPr>
    </w:p>
    <w:p w14:paraId="4DF87B1A" w14:textId="77777777" w:rsidR="00C95308" w:rsidRPr="00CC098D" w:rsidRDefault="00C95308" w:rsidP="00C95308">
      <w:pPr>
        <w:spacing w:line="360" w:lineRule="auto"/>
        <w:jc w:val="both"/>
        <w:rPr>
          <w:rFonts w:ascii="Arial" w:eastAsia="Arial" w:hAnsi="Arial" w:cs="Arial"/>
          <w:sz w:val="22"/>
          <w:szCs w:val="22"/>
        </w:rPr>
      </w:pPr>
      <w:r w:rsidRPr="00CC098D">
        <w:rPr>
          <w:rFonts w:ascii="Arial" w:eastAsia="Arial" w:hAnsi="Arial" w:cs="Arial"/>
          <w:sz w:val="22"/>
          <w:szCs w:val="22"/>
        </w:rPr>
        <w:t>Desde una perspectiva analítica, la serie evidencia dos momentos diferenciados</w:t>
      </w:r>
      <w:r>
        <w:rPr>
          <w:rFonts w:ascii="Arial" w:eastAsia="Arial" w:hAnsi="Arial" w:cs="Arial"/>
          <w:sz w:val="22"/>
          <w:szCs w:val="22"/>
        </w:rPr>
        <w:t xml:space="preserve">; </w:t>
      </w:r>
      <w:r w:rsidRPr="00CC098D">
        <w:rPr>
          <w:rFonts w:ascii="Arial" w:eastAsia="Arial" w:hAnsi="Arial" w:cs="Arial"/>
          <w:sz w:val="22"/>
          <w:szCs w:val="22"/>
        </w:rPr>
        <w:t xml:space="preserve">un primer periodo, entre enero y mayo, caracterizado por oscilaciones y niveles cercanos o inferiores al 100%; y un segundo periodo, entre junio y diciembre, marcado por un incremento continuo y una consolidación en niveles superiores al 118%. Entre enero y diciembre, el indicador aumentó en 37,07 puntos porcentuales, equivalente a una variación relativa de 38,98%, mientras que entre mayo y junio se presentó el cambio más brusco de la serie, con un aumento de 23,43 puntos porcentuales. Del mismo modo, entre junio y diciembre se </w:t>
      </w:r>
      <w:r w:rsidRPr="00CC098D">
        <w:rPr>
          <w:rFonts w:ascii="Arial" w:eastAsia="Arial" w:hAnsi="Arial" w:cs="Arial"/>
          <w:sz w:val="22"/>
          <w:szCs w:val="22"/>
        </w:rPr>
        <w:lastRenderedPageBreak/>
        <w:t>registra un crecimiento adicional de 13,71 puntos porcentuales, lo que confirma la persistencia de la tendencia ascendente en el cierre del año.</w:t>
      </w:r>
    </w:p>
    <w:p w14:paraId="50977FD1" w14:textId="77777777" w:rsidR="00C95308" w:rsidRPr="00CC098D" w:rsidRDefault="00C95308" w:rsidP="00C95308">
      <w:pPr>
        <w:spacing w:line="360" w:lineRule="auto"/>
        <w:jc w:val="both"/>
        <w:rPr>
          <w:rFonts w:ascii="Arial" w:eastAsia="Arial" w:hAnsi="Arial" w:cs="Arial"/>
          <w:sz w:val="22"/>
          <w:szCs w:val="22"/>
        </w:rPr>
      </w:pPr>
    </w:p>
    <w:p w14:paraId="5F0F59ED" w14:textId="77777777" w:rsidR="00C95308" w:rsidRDefault="00C95308" w:rsidP="00C95308">
      <w:pPr>
        <w:spacing w:line="360" w:lineRule="auto"/>
        <w:jc w:val="both"/>
        <w:rPr>
          <w:rFonts w:ascii="Arial" w:eastAsia="Arial" w:hAnsi="Arial" w:cs="Arial"/>
          <w:sz w:val="22"/>
          <w:szCs w:val="22"/>
        </w:rPr>
      </w:pPr>
      <w:r w:rsidRPr="00562E90">
        <w:rPr>
          <w:rFonts w:ascii="Arial" w:eastAsia="Arial" w:hAnsi="Arial" w:cs="Arial"/>
          <w:sz w:val="22"/>
          <w:szCs w:val="22"/>
        </w:rPr>
        <w:t xml:space="preserve">En síntesis, la evolución de la siniestralidad de COOSALUD EPS evidencia un deterioro sostenido del equilibrio financiero de la operación del aseguramiento durante 2025, con una intensificación especialmente crítica a partir de junio y cierre en diciembre en el nivel más alto de toda la serie. Este comportamiento no debe interpretarse como una variación coyuntural, sino como la manifestación de una presión creciente de los costos de atención frente a los ingresos disponibles para respaldarlos. En términos operativos y financieros, el aumento progresivo de la siniestralidad sugiere limitaciones en la capacidad de la entidad para contener el gasto en salud, gestionar adecuadamente el riesgo y sostener un equilibrio técnico en la administración de los recursos. </w:t>
      </w:r>
    </w:p>
    <w:p w14:paraId="6AF9D39A" w14:textId="77777777" w:rsidR="00C95308" w:rsidRDefault="00C95308" w:rsidP="00C95308">
      <w:pPr>
        <w:spacing w:line="360" w:lineRule="auto"/>
        <w:jc w:val="both"/>
        <w:rPr>
          <w:rFonts w:ascii="Arial" w:eastAsia="Arial" w:hAnsi="Arial" w:cs="Arial"/>
          <w:sz w:val="22"/>
          <w:szCs w:val="22"/>
        </w:rPr>
      </w:pPr>
    </w:p>
    <w:p w14:paraId="0D37BA7A" w14:textId="77777777" w:rsidR="00C95308" w:rsidRDefault="00C95308" w:rsidP="00C95308">
      <w:pPr>
        <w:spacing w:line="360" w:lineRule="auto"/>
        <w:jc w:val="both"/>
        <w:rPr>
          <w:rFonts w:ascii="Arial" w:eastAsia="Arial" w:hAnsi="Arial" w:cs="Arial"/>
          <w:sz w:val="22"/>
          <w:szCs w:val="22"/>
        </w:rPr>
      </w:pPr>
      <w:r w:rsidRPr="00562E90">
        <w:rPr>
          <w:rFonts w:ascii="Arial" w:eastAsia="Arial" w:hAnsi="Arial" w:cs="Arial"/>
          <w:sz w:val="22"/>
          <w:szCs w:val="22"/>
        </w:rPr>
        <w:t>En el marco del aseguramiento, esta situación resulta particularmente preocupante, en la medida en que puede traducirse en mayores tensiones de liquidez, debilitamiento de la red prestadora, incremento de barreras de acceso, demoras en la atención y mayor riesgo de interrupción en la continuidad de los tratamientos para la población afiliada en Bogotá D. C. En consecuencia, el comportamiento de este indicador constituye una señal de alerta sobre la sostenibilidad operativa y financiera de COOSALUD EPS y refuerza la necesidad de mantener un seguimiento estricto sobre su capacidad real para garantizar la prestación efectiva y oportuna de los servicios de salud.</w:t>
      </w:r>
    </w:p>
    <w:p w14:paraId="04715980" w14:textId="77777777" w:rsidR="00C95308" w:rsidRPr="00C95308" w:rsidRDefault="00C95308" w:rsidP="006068A2">
      <w:pPr>
        <w:spacing w:line="360" w:lineRule="auto"/>
        <w:jc w:val="both"/>
        <w:rPr>
          <w:rFonts w:ascii="Arial" w:hAnsi="Arial" w:cs="Arial"/>
          <w:sz w:val="22"/>
          <w:szCs w:val="22"/>
        </w:rPr>
      </w:pPr>
    </w:p>
    <w:p w14:paraId="3E538BBB" w14:textId="1761AA59" w:rsidR="00595EA7" w:rsidRPr="006068A2" w:rsidRDefault="00B73EA3" w:rsidP="0088735C">
      <w:pPr>
        <w:pStyle w:val="Ttulo1"/>
        <w:numPr>
          <w:ilvl w:val="0"/>
          <w:numId w:val="9"/>
        </w:numPr>
        <w:spacing w:before="0" w:line="360" w:lineRule="auto"/>
        <w:jc w:val="both"/>
        <w:rPr>
          <w:rFonts w:ascii="Arial" w:hAnsi="Arial" w:cs="Arial"/>
          <w:b/>
          <w:bCs/>
          <w:color w:val="auto"/>
          <w:sz w:val="22"/>
          <w:szCs w:val="22"/>
        </w:rPr>
      </w:pPr>
      <w:bookmarkStart w:id="78" w:name="_Toc229397865"/>
      <w:r w:rsidRPr="006068A2">
        <w:rPr>
          <w:rFonts w:ascii="Arial" w:hAnsi="Arial" w:cs="Arial"/>
          <w:b/>
          <w:bCs/>
          <w:color w:val="auto"/>
          <w:sz w:val="22"/>
          <w:szCs w:val="22"/>
        </w:rPr>
        <w:t>CONCLUSIONES</w:t>
      </w:r>
      <w:bookmarkEnd w:id="78"/>
      <w:r w:rsidR="00595EA7" w:rsidRPr="006068A2">
        <w:rPr>
          <w:rFonts w:ascii="Arial" w:hAnsi="Arial" w:cs="Arial"/>
          <w:b/>
          <w:bCs/>
          <w:color w:val="auto"/>
          <w:sz w:val="22"/>
          <w:szCs w:val="22"/>
        </w:rPr>
        <w:t xml:space="preserve"> </w:t>
      </w:r>
    </w:p>
    <w:p w14:paraId="4552CE83" w14:textId="77777777" w:rsidR="0068387D" w:rsidRDefault="0068387D" w:rsidP="006068A2">
      <w:pPr>
        <w:spacing w:line="360" w:lineRule="auto"/>
        <w:jc w:val="both"/>
        <w:rPr>
          <w:rFonts w:ascii="Arial" w:hAnsi="Arial" w:cs="Arial"/>
          <w:color w:val="000000" w:themeColor="text1"/>
          <w:sz w:val="22"/>
          <w:szCs w:val="22"/>
        </w:rPr>
      </w:pPr>
    </w:p>
    <w:p w14:paraId="7560986D" w14:textId="4F184A68" w:rsidR="00A50C92" w:rsidRP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una operación territorial que, aunque cuantitativamente pequeña dentro del aseguramiento de Bogotá, genera un riesgo relevante para la red distrital y para la atención de sus afiliados.</w:t>
      </w:r>
      <w:r w:rsidRPr="00A50C92">
        <w:rPr>
          <w:rFonts w:ascii="Arial" w:hAnsi="Arial" w:cs="Arial"/>
          <w:color w:val="000000" w:themeColor="text1"/>
          <w:sz w:val="22"/>
          <w:szCs w:val="22"/>
        </w:rPr>
        <w:t xml:space="preserve"> Al cierre de 2025, COOSALUD EPS registró </w:t>
      </w:r>
      <w:r w:rsidRPr="00A50C92">
        <w:rPr>
          <w:rFonts w:ascii="Arial" w:hAnsi="Arial" w:cs="Arial"/>
          <w:b/>
          <w:bCs/>
          <w:color w:val="000000" w:themeColor="text1"/>
          <w:sz w:val="22"/>
          <w:szCs w:val="22"/>
        </w:rPr>
        <w:t>34.472 afiliados en Bogotá D. C.</w:t>
      </w:r>
      <w:r w:rsidRPr="00A50C92">
        <w:rPr>
          <w:rFonts w:ascii="Arial" w:hAnsi="Arial" w:cs="Arial"/>
          <w:color w:val="000000" w:themeColor="text1"/>
          <w:sz w:val="22"/>
          <w:szCs w:val="22"/>
        </w:rPr>
        <w:t xml:space="preserve">, equivalentes al </w:t>
      </w:r>
      <w:r w:rsidRPr="00A50C92">
        <w:rPr>
          <w:rFonts w:ascii="Arial" w:hAnsi="Arial" w:cs="Arial"/>
          <w:b/>
          <w:bCs/>
          <w:color w:val="000000" w:themeColor="text1"/>
          <w:sz w:val="22"/>
          <w:szCs w:val="22"/>
        </w:rPr>
        <w:t>0,4%</w:t>
      </w:r>
      <w:r w:rsidRPr="00A50C92">
        <w:rPr>
          <w:rFonts w:ascii="Arial" w:hAnsi="Arial" w:cs="Arial"/>
          <w:color w:val="000000" w:themeColor="text1"/>
          <w:sz w:val="22"/>
          <w:szCs w:val="22"/>
        </w:rPr>
        <w:t xml:space="preserve"> del total distrital, con una marcada concentración en el régimen subsidiado. Sin embargo, esta baja participación no reduce la relevancia del riesgo, porque Bogotá también soporta la demanda de mediana y alta complejidad de afiliados de COOSALUD EPS residentes en municipios circunvecinos, donde la EPS reportó </w:t>
      </w:r>
      <w:r w:rsidRPr="00A50C92">
        <w:rPr>
          <w:rFonts w:ascii="Arial" w:hAnsi="Arial" w:cs="Arial"/>
          <w:b/>
          <w:bCs/>
          <w:color w:val="000000" w:themeColor="text1"/>
          <w:sz w:val="22"/>
          <w:szCs w:val="22"/>
        </w:rPr>
        <w:t>36.416 usuarios</w:t>
      </w:r>
      <w:r w:rsidRPr="00A50C92">
        <w:rPr>
          <w:rFonts w:ascii="Arial" w:hAnsi="Arial" w:cs="Arial"/>
          <w:color w:val="000000" w:themeColor="text1"/>
          <w:sz w:val="22"/>
          <w:szCs w:val="22"/>
        </w:rPr>
        <w:t xml:space="preserve"> en 2025. En consecuencia, para los afiliados de COOSALUD EPS y para la red del Distrito, </w:t>
      </w:r>
      <w:r w:rsidRPr="00A50C92">
        <w:rPr>
          <w:rFonts w:ascii="Arial" w:hAnsi="Arial" w:cs="Arial"/>
          <w:color w:val="000000" w:themeColor="text1"/>
          <w:sz w:val="22"/>
          <w:szCs w:val="22"/>
        </w:rPr>
        <w:lastRenderedPageBreak/>
        <w:t xml:space="preserve">esta configuración implica mayor presión asistencial, riesgo de congestión, demoras en la atención y mayores exigencias sobre la capacidad resolutiva de la red prestadora. </w:t>
      </w:r>
    </w:p>
    <w:p w14:paraId="15C48975" w14:textId="01A6A97E" w:rsidR="00A50C92" w:rsidRP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evidencia un deterioro sostenido en la experiencia de sus usuarios, reflejado en el volumen y la tendencia creciente de reclamaciones y PQRS.</w:t>
      </w:r>
      <w:r w:rsidRPr="00A50C92">
        <w:rPr>
          <w:rFonts w:ascii="Arial" w:hAnsi="Arial" w:cs="Arial"/>
          <w:color w:val="000000" w:themeColor="text1"/>
          <w:sz w:val="22"/>
          <w:szCs w:val="22"/>
        </w:rPr>
        <w:t xml:space="preserve"> En 2025, COOSALUD EPS registró en Bogotá una tasa de </w:t>
      </w:r>
      <w:r w:rsidRPr="00A50C92">
        <w:rPr>
          <w:rFonts w:ascii="Arial" w:hAnsi="Arial" w:cs="Arial"/>
          <w:b/>
          <w:bCs/>
          <w:color w:val="000000" w:themeColor="text1"/>
          <w:sz w:val="22"/>
          <w:szCs w:val="22"/>
        </w:rPr>
        <w:t>502,90 reclamos en salud por cada 10.000 afiliados</w:t>
      </w:r>
      <w:r w:rsidRPr="00A50C92">
        <w:rPr>
          <w:rFonts w:ascii="Arial" w:hAnsi="Arial" w:cs="Arial"/>
          <w:color w:val="000000" w:themeColor="text1"/>
          <w:sz w:val="22"/>
          <w:szCs w:val="22"/>
        </w:rPr>
        <w:t xml:space="preserve">, con </w:t>
      </w:r>
      <w:r w:rsidRPr="00A50C92">
        <w:rPr>
          <w:rFonts w:ascii="Arial" w:hAnsi="Arial" w:cs="Arial"/>
          <w:b/>
          <w:bCs/>
          <w:color w:val="000000" w:themeColor="text1"/>
          <w:sz w:val="22"/>
          <w:szCs w:val="22"/>
        </w:rPr>
        <w:t>1.725 reclamos acumulados</w:t>
      </w:r>
      <w:r w:rsidRPr="00A50C92">
        <w:rPr>
          <w:rFonts w:ascii="Arial" w:hAnsi="Arial" w:cs="Arial"/>
          <w:color w:val="000000" w:themeColor="text1"/>
          <w:sz w:val="22"/>
          <w:szCs w:val="22"/>
        </w:rPr>
        <w:t xml:space="preserve">, lo que la ubicó en el </w:t>
      </w:r>
      <w:r w:rsidRPr="00A50C92">
        <w:rPr>
          <w:rFonts w:ascii="Arial" w:hAnsi="Arial" w:cs="Arial"/>
          <w:b/>
          <w:bCs/>
          <w:color w:val="000000" w:themeColor="text1"/>
          <w:sz w:val="22"/>
          <w:szCs w:val="22"/>
        </w:rPr>
        <w:t>sexto lugar</w:t>
      </w:r>
      <w:r w:rsidRPr="00A50C92">
        <w:rPr>
          <w:rFonts w:ascii="Arial" w:hAnsi="Arial" w:cs="Arial"/>
          <w:color w:val="000000" w:themeColor="text1"/>
          <w:sz w:val="22"/>
          <w:szCs w:val="22"/>
        </w:rPr>
        <w:t xml:space="preserve"> entre las EPS con mayor tasa de reclamos en el Distrito. Adicionalmente, COOSALUD EPS acumuló </w:t>
      </w:r>
      <w:r w:rsidRPr="00A50C92">
        <w:rPr>
          <w:rFonts w:ascii="Arial" w:hAnsi="Arial" w:cs="Arial"/>
          <w:b/>
          <w:bCs/>
          <w:color w:val="000000" w:themeColor="text1"/>
          <w:sz w:val="22"/>
          <w:szCs w:val="22"/>
        </w:rPr>
        <w:t>3.368 PQRS</w:t>
      </w:r>
      <w:r w:rsidRPr="00A50C92">
        <w:rPr>
          <w:rFonts w:ascii="Arial" w:hAnsi="Arial" w:cs="Arial"/>
          <w:color w:val="000000" w:themeColor="text1"/>
          <w:sz w:val="22"/>
          <w:szCs w:val="22"/>
        </w:rPr>
        <w:t xml:space="preserve">, equivalentes a </w:t>
      </w:r>
      <w:r w:rsidRPr="00A50C92">
        <w:rPr>
          <w:rFonts w:ascii="Arial" w:hAnsi="Arial" w:cs="Arial"/>
          <w:b/>
          <w:bCs/>
          <w:color w:val="000000" w:themeColor="text1"/>
          <w:sz w:val="22"/>
          <w:szCs w:val="22"/>
        </w:rPr>
        <w:t>97,7 por cada 1.000 afiliados</w:t>
      </w:r>
      <w:r w:rsidRPr="00A50C92">
        <w:rPr>
          <w:rFonts w:ascii="Arial" w:hAnsi="Arial" w:cs="Arial"/>
          <w:color w:val="000000" w:themeColor="text1"/>
          <w:sz w:val="22"/>
          <w:szCs w:val="22"/>
        </w:rPr>
        <w:t xml:space="preserve">, cifra que confirma una carga elevada de inconformidad frente al tamaño de su población afiliada. Para los afiliados de COOSALUD EPS, este comportamiento representa una señal clara de deterioro en la oportunidad, continuidad y calidad percibida de la atención, con riesgo de profundización de barreras, pérdida de confianza institucional y aumento de la judicialización para obtener servicios. </w:t>
      </w:r>
    </w:p>
    <w:p w14:paraId="2FDA0AB9" w14:textId="44D97DBE" w:rsidR="00A50C92" w:rsidRP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una gestión de PQRS marcadamente inoportuna, lo que incrementa el riesgo de agravamiento de barreras de acceso y afectación directa del derecho a la salud de sus afiliados.</w:t>
      </w:r>
      <w:r w:rsidRPr="00A50C92">
        <w:rPr>
          <w:rFonts w:ascii="Arial" w:hAnsi="Arial" w:cs="Arial"/>
          <w:color w:val="000000" w:themeColor="text1"/>
          <w:sz w:val="22"/>
          <w:szCs w:val="22"/>
        </w:rPr>
        <w:t xml:space="preserve"> Los incumplimientos en tiempos de respuesta alcanzaron </w:t>
      </w:r>
      <w:r w:rsidRPr="00A50C92">
        <w:rPr>
          <w:rFonts w:ascii="Arial" w:hAnsi="Arial" w:cs="Arial"/>
          <w:b/>
          <w:bCs/>
          <w:color w:val="000000" w:themeColor="text1"/>
          <w:sz w:val="22"/>
          <w:szCs w:val="22"/>
        </w:rPr>
        <w:t>50% en riesgo vital</w:t>
      </w:r>
      <w:r w:rsidRPr="00A50C92">
        <w:rPr>
          <w:rFonts w:ascii="Arial" w:hAnsi="Arial" w:cs="Arial"/>
          <w:color w:val="000000" w:themeColor="text1"/>
          <w:sz w:val="22"/>
          <w:szCs w:val="22"/>
        </w:rPr>
        <w:t xml:space="preserve">, </w:t>
      </w:r>
      <w:r w:rsidRPr="00A50C92">
        <w:rPr>
          <w:rFonts w:ascii="Arial" w:hAnsi="Arial" w:cs="Arial"/>
          <w:b/>
          <w:bCs/>
          <w:color w:val="000000" w:themeColor="text1"/>
          <w:sz w:val="22"/>
          <w:szCs w:val="22"/>
        </w:rPr>
        <w:t>69,13% en riesgo priorizado</w:t>
      </w:r>
      <w:r w:rsidRPr="00A50C92">
        <w:rPr>
          <w:rFonts w:ascii="Arial" w:hAnsi="Arial" w:cs="Arial"/>
          <w:color w:val="000000" w:themeColor="text1"/>
          <w:sz w:val="22"/>
          <w:szCs w:val="22"/>
        </w:rPr>
        <w:t xml:space="preserve"> y </w:t>
      </w:r>
      <w:r w:rsidRPr="00A50C92">
        <w:rPr>
          <w:rFonts w:ascii="Arial" w:hAnsi="Arial" w:cs="Arial"/>
          <w:b/>
          <w:bCs/>
          <w:color w:val="000000" w:themeColor="text1"/>
          <w:sz w:val="22"/>
          <w:szCs w:val="22"/>
        </w:rPr>
        <w:t>55,38% en riesgo simple</w:t>
      </w:r>
      <w:r w:rsidRPr="00A50C92">
        <w:rPr>
          <w:rFonts w:ascii="Arial" w:hAnsi="Arial" w:cs="Arial"/>
          <w:color w:val="000000" w:themeColor="text1"/>
          <w:sz w:val="22"/>
          <w:szCs w:val="22"/>
        </w:rPr>
        <w:t xml:space="preserve">, porcentajes que resultan especialmente críticos porque comprometen manifestaciones asociadas a necesidades de atención urgente o preferente. Para los afiliados de COOSALUD EPS, esta inoportunidad no es un problema meramente administrativo: implica mayor probabilidad de retraso en autorizaciones, persistencia de barreras, interrupción de tratamientos y mayor exposición a complicaciones clínicas por ausencia de respuesta oportuna. En términos institucionales, evidencia debilidades estructurales en clasificación, priorización, escalamiento y cierre efectivo de los casos. </w:t>
      </w:r>
    </w:p>
    <w:p w14:paraId="5ADA1E0B" w14:textId="66C84FAC" w:rsidR="00A50C92" w:rsidRP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mantiene barreras de acceso estructurales que afectan de forma directa la atención efectiva de sus afiliados en Bogotá D. C.</w:t>
      </w:r>
      <w:r w:rsidRPr="00A50C92">
        <w:rPr>
          <w:rFonts w:ascii="Arial" w:hAnsi="Arial" w:cs="Arial"/>
          <w:color w:val="000000" w:themeColor="text1"/>
          <w:sz w:val="22"/>
          <w:szCs w:val="22"/>
        </w:rPr>
        <w:t xml:space="preserve"> Los principales motivos de inconformidad se concentraron en la </w:t>
      </w:r>
      <w:r w:rsidRPr="00A50C92">
        <w:rPr>
          <w:rFonts w:ascii="Arial" w:hAnsi="Arial" w:cs="Arial"/>
          <w:b/>
          <w:bCs/>
          <w:color w:val="000000" w:themeColor="text1"/>
          <w:sz w:val="22"/>
          <w:szCs w:val="22"/>
        </w:rPr>
        <w:t>falta de oportunidad en consulta especializada (27,46%)</w:t>
      </w:r>
      <w:r w:rsidRPr="00A50C92">
        <w:rPr>
          <w:rFonts w:ascii="Arial" w:hAnsi="Arial" w:cs="Arial"/>
          <w:color w:val="000000" w:themeColor="text1"/>
          <w:sz w:val="22"/>
          <w:szCs w:val="22"/>
        </w:rPr>
        <w:t xml:space="preserve">, la </w:t>
      </w:r>
      <w:r w:rsidRPr="00A50C92">
        <w:rPr>
          <w:rFonts w:ascii="Arial" w:hAnsi="Arial" w:cs="Arial"/>
          <w:b/>
          <w:bCs/>
          <w:color w:val="000000" w:themeColor="text1"/>
          <w:sz w:val="22"/>
          <w:szCs w:val="22"/>
        </w:rPr>
        <w:t>demora o entrega incompleta de medicamentos (15,85%)</w:t>
      </w:r>
      <w:r w:rsidRPr="00A50C92">
        <w:rPr>
          <w:rFonts w:ascii="Arial" w:hAnsi="Arial" w:cs="Arial"/>
          <w:color w:val="000000" w:themeColor="text1"/>
          <w:sz w:val="22"/>
          <w:szCs w:val="22"/>
        </w:rPr>
        <w:t xml:space="preserve">, las </w:t>
      </w:r>
      <w:r w:rsidRPr="00A50C92">
        <w:rPr>
          <w:rFonts w:ascii="Arial" w:hAnsi="Arial" w:cs="Arial"/>
          <w:b/>
          <w:bCs/>
          <w:color w:val="000000" w:themeColor="text1"/>
          <w:sz w:val="22"/>
          <w:szCs w:val="22"/>
        </w:rPr>
        <w:t>dificultades en aseguramiento y prestaciones económicas (12,62%)</w:t>
      </w:r>
      <w:r w:rsidRPr="00A50C92">
        <w:rPr>
          <w:rFonts w:ascii="Arial" w:hAnsi="Arial" w:cs="Arial"/>
          <w:color w:val="000000" w:themeColor="text1"/>
          <w:sz w:val="22"/>
          <w:szCs w:val="22"/>
        </w:rPr>
        <w:t xml:space="preserve">, la </w:t>
      </w:r>
      <w:r w:rsidRPr="00A50C92">
        <w:rPr>
          <w:rFonts w:ascii="Arial" w:hAnsi="Arial" w:cs="Arial"/>
          <w:b/>
          <w:bCs/>
          <w:color w:val="000000" w:themeColor="text1"/>
          <w:sz w:val="22"/>
          <w:szCs w:val="22"/>
        </w:rPr>
        <w:t>demora en medicina general (8,46%)</w:t>
      </w:r>
      <w:r w:rsidRPr="00A50C92">
        <w:rPr>
          <w:rFonts w:ascii="Arial" w:hAnsi="Arial" w:cs="Arial"/>
          <w:color w:val="000000" w:themeColor="text1"/>
          <w:sz w:val="22"/>
          <w:szCs w:val="22"/>
        </w:rPr>
        <w:t xml:space="preserve"> y la </w:t>
      </w:r>
      <w:r w:rsidRPr="00A50C92">
        <w:rPr>
          <w:rFonts w:ascii="Arial" w:hAnsi="Arial" w:cs="Arial"/>
          <w:b/>
          <w:bCs/>
          <w:color w:val="000000" w:themeColor="text1"/>
          <w:sz w:val="22"/>
          <w:szCs w:val="22"/>
        </w:rPr>
        <w:t>inoportunidad en procedimientos no quirúrgicos (5,52%)</w:t>
      </w:r>
      <w:r w:rsidRPr="00A50C92">
        <w:rPr>
          <w:rFonts w:ascii="Arial" w:hAnsi="Arial" w:cs="Arial"/>
          <w:color w:val="000000" w:themeColor="text1"/>
          <w:sz w:val="22"/>
          <w:szCs w:val="22"/>
        </w:rPr>
        <w:t xml:space="preserve">, que en conjunto representan </w:t>
      </w:r>
      <w:r w:rsidRPr="00A50C92">
        <w:rPr>
          <w:rFonts w:ascii="Arial" w:hAnsi="Arial" w:cs="Arial"/>
          <w:b/>
          <w:bCs/>
          <w:color w:val="000000" w:themeColor="text1"/>
          <w:sz w:val="22"/>
          <w:szCs w:val="22"/>
        </w:rPr>
        <w:t>69,92%</w:t>
      </w:r>
      <w:r w:rsidRPr="00A50C92">
        <w:rPr>
          <w:rFonts w:ascii="Arial" w:hAnsi="Arial" w:cs="Arial"/>
          <w:color w:val="000000" w:themeColor="text1"/>
          <w:sz w:val="22"/>
          <w:szCs w:val="22"/>
        </w:rPr>
        <w:t xml:space="preserve"> de las manifestaciones. De manera consistente, en el análisis distrital de barreras tramitadas por la SDS, para los afiliados de COOSALUD EPS el </w:t>
      </w:r>
      <w:r w:rsidRPr="00A50C92">
        <w:rPr>
          <w:rFonts w:ascii="Arial" w:hAnsi="Arial" w:cs="Arial"/>
          <w:b/>
          <w:bCs/>
          <w:color w:val="000000" w:themeColor="text1"/>
          <w:sz w:val="22"/>
          <w:szCs w:val="22"/>
        </w:rPr>
        <w:t>74%</w:t>
      </w:r>
      <w:r w:rsidRPr="00A50C92">
        <w:rPr>
          <w:rFonts w:ascii="Arial" w:hAnsi="Arial" w:cs="Arial"/>
          <w:color w:val="000000" w:themeColor="text1"/>
          <w:sz w:val="22"/>
          <w:szCs w:val="22"/>
        </w:rPr>
        <w:t xml:space="preserve"> de los casos correspondió a </w:t>
      </w:r>
      <w:r w:rsidRPr="00A50C92">
        <w:rPr>
          <w:rFonts w:ascii="Arial" w:hAnsi="Arial" w:cs="Arial"/>
          <w:b/>
          <w:bCs/>
          <w:color w:val="000000" w:themeColor="text1"/>
          <w:sz w:val="22"/>
          <w:szCs w:val="22"/>
        </w:rPr>
        <w:t xml:space="preserve">no oportunidad de </w:t>
      </w:r>
      <w:r w:rsidRPr="00A50C92">
        <w:rPr>
          <w:rFonts w:ascii="Arial" w:hAnsi="Arial" w:cs="Arial"/>
          <w:b/>
          <w:bCs/>
          <w:color w:val="000000" w:themeColor="text1"/>
          <w:sz w:val="22"/>
          <w:szCs w:val="22"/>
        </w:rPr>
        <w:lastRenderedPageBreak/>
        <w:t>servicios</w:t>
      </w:r>
      <w:r w:rsidRPr="00A50C92">
        <w:rPr>
          <w:rFonts w:ascii="Arial" w:hAnsi="Arial" w:cs="Arial"/>
          <w:color w:val="000000" w:themeColor="text1"/>
          <w:sz w:val="22"/>
          <w:szCs w:val="22"/>
        </w:rPr>
        <w:t xml:space="preserve"> y el </w:t>
      </w:r>
      <w:r w:rsidRPr="00A50C92">
        <w:rPr>
          <w:rFonts w:ascii="Arial" w:hAnsi="Arial" w:cs="Arial"/>
          <w:b/>
          <w:bCs/>
          <w:color w:val="000000" w:themeColor="text1"/>
          <w:sz w:val="22"/>
          <w:szCs w:val="22"/>
        </w:rPr>
        <w:t>17%</w:t>
      </w:r>
      <w:r w:rsidRPr="00A50C92">
        <w:rPr>
          <w:rFonts w:ascii="Arial" w:hAnsi="Arial" w:cs="Arial"/>
          <w:color w:val="000000" w:themeColor="text1"/>
          <w:sz w:val="22"/>
          <w:szCs w:val="22"/>
        </w:rPr>
        <w:t xml:space="preserve"> a </w:t>
      </w:r>
      <w:r w:rsidRPr="00A50C92">
        <w:rPr>
          <w:rFonts w:ascii="Arial" w:hAnsi="Arial" w:cs="Arial"/>
          <w:b/>
          <w:bCs/>
          <w:color w:val="000000" w:themeColor="text1"/>
          <w:sz w:val="22"/>
          <w:szCs w:val="22"/>
        </w:rPr>
        <w:t>no suministro de medicamentos</w:t>
      </w:r>
      <w:r w:rsidRPr="00A50C92">
        <w:rPr>
          <w:rFonts w:ascii="Arial" w:hAnsi="Arial" w:cs="Arial"/>
          <w:color w:val="000000" w:themeColor="text1"/>
          <w:sz w:val="22"/>
          <w:szCs w:val="22"/>
        </w:rPr>
        <w:t xml:space="preserve">. Esto demuestra que COOSALUD EPS concentra sus principales riesgos operativos en fallas de acceso, oportunidad y continuidad terapéutica, con potencial de generar diagnósticos tardíos, descompensación de patologías crónicas y mayor presión sobre urgencias y atención de alta complejidad. </w:t>
      </w:r>
    </w:p>
    <w:p w14:paraId="7CBF66BB" w14:textId="00D7AEA8" w:rsidR="00A50C92" w:rsidRP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debilidades críticas en la trazabilidad y demostración de la gestión del riesgo materno-perinatal, aun cuando no reportó mortalidad materna en 2025.</w:t>
      </w:r>
      <w:r w:rsidRPr="00A50C92">
        <w:rPr>
          <w:rFonts w:ascii="Arial" w:hAnsi="Arial" w:cs="Arial"/>
          <w:color w:val="000000" w:themeColor="text1"/>
          <w:sz w:val="22"/>
          <w:szCs w:val="22"/>
        </w:rPr>
        <w:t xml:space="preserve"> Las auditorías IVS y GAUDI evidenciaron ausencia de soportes, inconsistencias en cohortes de gestantes y recién nacidos, y falta de variables fundamentales para verificar el cumplimiento de las intervenciones de la Ruta Integral de Atención Materno Perinatal. Aunque COOSALUD EPS no registró eventos de mortalidad materna, esta carencia de información limita severamente la capacidad de demostrar gestión efectiva del riesgo y reduce la posibilidad de anticipar o intervenir oportunamente eventos adversos. Para los afiliados de COOSALUD EPS, especialmente gestantes y recién nacidos, este hallazgo constituye una señal de alerta de alta sensibilidad, porque compromete la trazabilidad del seguimiento, la capacidad preventiva de la EPS y la verificación territorial del cumplimiento de sus obligaciones. </w:t>
      </w:r>
    </w:p>
    <w:p w14:paraId="55D512DC" w14:textId="6A2299B1" w:rsidR="00A50C92" w:rsidRP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mantiene brechas importantes en resultados de salud y prevención, particularmente en mortalidad infantil y coberturas de vacunación, lo que incrementa la vulnerabilidad de sus afiliados.</w:t>
      </w:r>
      <w:r w:rsidRPr="00A50C92">
        <w:rPr>
          <w:rFonts w:ascii="Arial" w:hAnsi="Arial" w:cs="Arial"/>
          <w:color w:val="000000" w:themeColor="text1"/>
          <w:sz w:val="22"/>
          <w:szCs w:val="22"/>
        </w:rPr>
        <w:t xml:space="preserve"> En mortalidad infantil, COOSALUD EPS registró </w:t>
      </w:r>
      <w:r w:rsidRPr="00A50C92">
        <w:rPr>
          <w:rFonts w:ascii="Arial" w:hAnsi="Arial" w:cs="Arial"/>
          <w:b/>
          <w:bCs/>
          <w:color w:val="000000" w:themeColor="text1"/>
          <w:sz w:val="22"/>
          <w:szCs w:val="22"/>
        </w:rPr>
        <w:t>4 casos</w:t>
      </w:r>
      <w:r w:rsidRPr="00A50C92">
        <w:rPr>
          <w:rFonts w:ascii="Arial" w:hAnsi="Arial" w:cs="Arial"/>
          <w:color w:val="000000" w:themeColor="text1"/>
          <w:sz w:val="22"/>
          <w:szCs w:val="22"/>
        </w:rPr>
        <w:t xml:space="preserve"> en 2025, concentrados en </w:t>
      </w:r>
      <w:r w:rsidRPr="00A50C92">
        <w:rPr>
          <w:rFonts w:ascii="Arial" w:hAnsi="Arial" w:cs="Arial"/>
          <w:b/>
          <w:bCs/>
          <w:color w:val="000000" w:themeColor="text1"/>
          <w:sz w:val="22"/>
          <w:szCs w:val="22"/>
        </w:rPr>
        <w:t>Bosa, Usme y Ciudad Bolívar</w:t>
      </w:r>
      <w:r w:rsidRPr="00A50C92">
        <w:rPr>
          <w:rFonts w:ascii="Arial" w:hAnsi="Arial" w:cs="Arial"/>
          <w:color w:val="000000" w:themeColor="text1"/>
          <w:sz w:val="22"/>
          <w:szCs w:val="22"/>
        </w:rPr>
        <w:t xml:space="preserve">, con predominio de causas asociadas al periodo perinatal y neonatal. En vacunación, aunque COOSALUD EPS superó la meta en varios trazadores del PAI, persisten rezagos significativos en </w:t>
      </w:r>
      <w:r w:rsidRPr="00A50C92">
        <w:rPr>
          <w:rFonts w:ascii="Arial" w:hAnsi="Arial" w:cs="Arial"/>
          <w:b/>
          <w:bCs/>
          <w:color w:val="000000" w:themeColor="text1"/>
          <w:sz w:val="22"/>
          <w:szCs w:val="22"/>
        </w:rPr>
        <w:t>DPT segundo refuerzo a los 5 años (82%)</w:t>
      </w:r>
      <w:r w:rsidRPr="00A50C92">
        <w:rPr>
          <w:rFonts w:ascii="Arial" w:hAnsi="Arial" w:cs="Arial"/>
          <w:color w:val="000000" w:themeColor="text1"/>
          <w:sz w:val="22"/>
          <w:szCs w:val="22"/>
        </w:rPr>
        <w:t xml:space="preserve">, </w:t>
      </w:r>
      <w:r w:rsidRPr="00A50C92">
        <w:rPr>
          <w:rFonts w:ascii="Arial" w:hAnsi="Arial" w:cs="Arial"/>
          <w:b/>
          <w:bCs/>
          <w:color w:val="000000" w:themeColor="text1"/>
          <w:sz w:val="22"/>
          <w:szCs w:val="22"/>
        </w:rPr>
        <w:t>VPH (46% en niñas y 38% en niños)</w:t>
      </w:r>
      <w:r w:rsidRPr="00A50C92">
        <w:rPr>
          <w:rFonts w:ascii="Arial" w:hAnsi="Arial" w:cs="Arial"/>
          <w:color w:val="000000" w:themeColor="text1"/>
          <w:sz w:val="22"/>
          <w:szCs w:val="22"/>
        </w:rPr>
        <w:t xml:space="preserve">, </w:t>
      </w:r>
      <w:r w:rsidRPr="00A50C92">
        <w:rPr>
          <w:rFonts w:ascii="Arial" w:hAnsi="Arial" w:cs="Arial"/>
          <w:b/>
          <w:bCs/>
          <w:color w:val="000000" w:themeColor="text1"/>
          <w:sz w:val="22"/>
          <w:szCs w:val="22"/>
        </w:rPr>
        <w:t>segunda dosis de influenza en menores de un año (69%)</w:t>
      </w:r>
      <w:r w:rsidRPr="00A50C92">
        <w:rPr>
          <w:rFonts w:ascii="Arial" w:hAnsi="Arial" w:cs="Arial"/>
          <w:color w:val="000000" w:themeColor="text1"/>
          <w:sz w:val="22"/>
          <w:szCs w:val="22"/>
        </w:rPr>
        <w:t xml:space="preserve">, </w:t>
      </w:r>
      <w:r w:rsidRPr="00A50C92">
        <w:rPr>
          <w:rFonts w:ascii="Arial" w:hAnsi="Arial" w:cs="Arial"/>
          <w:b/>
          <w:bCs/>
          <w:color w:val="000000" w:themeColor="text1"/>
          <w:sz w:val="22"/>
          <w:szCs w:val="22"/>
        </w:rPr>
        <w:t>influenza en adultos de 60 años y más (68%)</w:t>
      </w:r>
      <w:r w:rsidRPr="00A50C92">
        <w:rPr>
          <w:rFonts w:ascii="Arial" w:hAnsi="Arial" w:cs="Arial"/>
          <w:color w:val="000000" w:themeColor="text1"/>
          <w:sz w:val="22"/>
          <w:szCs w:val="22"/>
        </w:rPr>
        <w:t xml:space="preserve"> y </w:t>
      </w:r>
      <w:r w:rsidRPr="00A50C92">
        <w:rPr>
          <w:rFonts w:ascii="Arial" w:hAnsi="Arial" w:cs="Arial"/>
          <w:b/>
          <w:bCs/>
          <w:color w:val="000000" w:themeColor="text1"/>
          <w:sz w:val="22"/>
          <w:szCs w:val="22"/>
        </w:rPr>
        <w:t>sarampión-rubéola (91,6%, con 221 susceptibles)</w:t>
      </w:r>
      <w:r w:rsidRPr="00A50C92">
        <w:rPr>
          <w:rFonts w:ascii="Arial" w:hAnsi="Arial" w:cs="Arial"/>
          <w:color w:val="000000" w:themeColor="text1"/>
          <w:sz w:val="22"/>
          <w:szCs w:val="22"/>
        </w:rPr>
        <w:t xml:space="preserve">. Para los afiliados de COOSALUD EPS, estas brechas no solo reflejan fallas programáticas: implican mayor exposición a eventos inmunoprevenibles, menor protección colectiva y aumento del riesgo sanitario en grupos de alta prioridad, como primera infancia, escolares, adultos mayores y adolescentes. </w:t>
      </w:r>
    </w:p>
    <w:p w14:paraId="6A4176BC" w14:textId="227076DE" w:rsidR="00A50C92" w:rsidRP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fallas de oportunidad dentro de su propia red prestadora, lo que compromete la continuidad y resolutividad de la atención de sus afiliados.</w:t>
      </w:r>
      <w:r w:rsidRPr="00A50C92">
        <w:rPr>
          <w:rFonts w:ascii="Arial" w:hAnsi="Arial" w:cs="Arial"/>
          <w:color w:val="000000" w:themeColor="text1"/>
          <w:sz w:val="22"/>
          <w:szCs w:val="22"/>
        </w:rPr>
        <w:t xml:space="preserve"> En el seguimiento realizado por GAMA se identificaron </w:t>
      </w:r>
      <w:r w:rsidRPr="00A50C92">
        <w:rPr>
          <w:rFonts w:ascii="Arial" w:hAnsi="Arial" w:cs="Arial"/>
          <w:b/>
          <w:bCs/>
          <w:color w:val="000000" w:themeColor="text1"/>
          <w:sz w:val="22"/>
          <w:szCs w:val="22"/>
        </w:rPr>
        <w:t>8.955 casos</w:t>
      </w:r>
      <w:r w:rsidRPr="00A50C92">
        <w:rPr>
          <w:rFonts w:ascii="Arial" w:hAnsi="Arial" w:cs="Arial"/>
          <w:color w:val="000000" w:themeColor="text1"/>
          <w:sz w:val="22"/>
          <w:szCs w:val="22"/>
        </w:rPr>
        <w:t xml:space="preserve"> de </w:t>
      </w:r>
      <w:r w:rsidRPr="00A50C92">
        <w:rPr>
          <w:rFonts w:ascii="Arial" w:hAnsi="Arial" w:cs="Arial"/>
          <w:color w:val="000000" w:themeColor="text1"/>
          <w:sz w:val="22"/>
          <w:szCs w:val="22"/>
        </w:rPr>
        <w:lastRenderedPageBreak/>
        <w:t xml:space="preserve">inoportunidad en referencia superiores a 24 horas, de los cuales </w:t>
      </w:r>
      <w:r w:rsidRPr="00A50C92">
        <w:rPr>
          <w:rFonts w:ascii="Arial" w:hAnsi="Arial" w:cs="Arial"/>
          <w:b/>
          <w:bCs/>
          <w:color w:val="000000" w:themeColor="text1"/>
          <w:sz w:val="22"/>
          <w:szCs w:val="22"/>
        </w:rPr>
        <w:t>199 casos (2,2%)</w:t>
      </w:r>
      <w:r w:rsidRPr="00A50C92">
        <w:rPr>
          <w:rFonts w:ascii="Arial" w:hAnsi="Arial" w:cs="Arial"/>
          <w:color w:val="000000" w:themeColor="text1"/>
          <w:sz w:val="22"/>
          <w:szCs w:val="22"/>
        </w:rPr>
        <w:t xml:space="preserve"> correspondieron a afiliados de COOSALUD EPS. Lo más crítico es que </w:t>
      </w:r>
      <w:r w:rsidRPr="00A50C92">
        <w:rPr>
          <w:rFonts w:ascii="Arial" w:hAnsi="Arial" w:cs="Arial"/>
          <w:b/>
          <w:bCs/>
          <w:color w:val="000000" w:themeColor="text1"/>
          <w:sz w:val="22"/>
          <w:szCs w:val="22"/>
        </w:rPr>
        <w:t>151 casos (75,9%)</w:t>
      </w:r>
      <w:r w:rsidRPr="00A50C92">
        <w:rPr>
          <w:rFonts w:ascii="Arial" w:hAnsi="Arial" w:cs="Arial"/>
          <w:color w:val="000000" w:themeColor="text1"/>
          <w:sz w:val="22"/>
          <w:szCs w:val="22"/>
        </w:rPr>
        <w:t xml:space="preserve"> se originaron en IPS que sí hacían parte de la red reportada por la EPS, con concentración en </w:t>
      </w:r>
      <w:r w:rsidRPr="00A50C92">
        <w:rPr>
          <w:rFonts w:ascii="Arial" w:hAnsi="Arial" w:cs="Arial"/>
          <w:b/>
          <w:bCs/>
          <w:color w:val="000000" w:themeColor="text1"/>
          <w:sz w:val="22"/>
          <w:szCs w:val="22"/>
        </w:rPr>
        <w:t>USS Simón Bolívar (23,1%)</w:t>
      </w:r>
      <w:r w:rsidRPr="00A50C92">
        <w:rPr>
          <w:rFonts w:ascii="Arial" w:hAnsi="Arial" w:cs="Arial"/>
          <w:color w:val="000000" w:themeColor="text1"/>
          <w:sz w:val="22"/>
          <w:szCs w:val="22"/>
        </w:rPr>
        <w:t xml:space="preserve">, </w:t>
      </w:r>
      <w:r w:rsidRPr="00A50C92">
        <w:rPr>
          <w:rFonts w:ascii="Arial" w:hAnsi="Arial" w:cs="Arial"/>
          <w:b/>
          <w:bCs/>
          <w:color w:val="000000" w:themeColor="text1"/>
          <w:sz w:val="22"/>
          <w:szCs w:val="22"/>
        </w:rPr>
        <w:t>USS Meissen (14,1%)</w:t>
      </w:r>
      <w:r w:rsidRPr="00A50C92">
        <w:rPr>
          <w:rFonts w:ascii="Arial" w:hAnsi="Arial" w:cs="Arial"/>
          <w:color w:val="000000" w:themeColor="text1"/>
          <w:sz w:val="22"/>
          <w:szCs w:val="22"/>
        </w:rPr>
        <w:t xml:space="preserve"> y </w:t>
      </w:r>
      <w:r w:rsidRPr="00A50C92">
        <w:rPr>
          <w:rFonts w:ascii="Arial" w:hAnsi="Arial" w:cs="Arial"/>
          <w:b/>
          <w:bCs/>
          <w:color w:val="000000" w:themeColor="text1"/>
          <w:sz w:val="22"/>
          <w:szCs w:val="22"/>
        </w:rPr>
        <w:t>USS Kennedy (10,1%)</w:t>
      </w:r>
      <w:r w:rsidRPr="00A50C92">
        <w:rPr>
          <w:rFonts w:ascii="Arial" w:hAnsi="Arial" w:cs="Arial"/>
          <w:color w:val="000000" w:themeColor="text1"/>
          <w:sz w:val="22"/>
          <w:szCs w:val="22"/>
        </w:rPr>
        <w:t xml:space="preserve">. Esto significa que, para los afiliados de COOSALUD EPS, una parte sustancial del riesgo de inoportunidad no se explica solo por eventos fuera de red, sino por debilidades operativas dentro de la propia red contratada, lo que puede traducirse en retraso de remisiones, mayor riesgo clínico, pérdida de oportunidad terapéutica y fragmentación de la atención. </w:t>
      </w:r>
    </w:p>
    <w:p w14:paraId="6C74EAF4" w14:textId="55AB2902" w:rsidR="00A50C92" w:rsidRP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presenta debilidades relevantes en el componente farmacéutico, con efectos directos sobre el acceso a medicamentos y la continuidad de los tratamientos de sus afiliados.</w:t>
      </w:r>
      <w:r w:rsidRPr="00A50C92">
        <w:rPr>
          <w:rFonts w:ascii="Arial" w:hAnsi="Arial" w:cs="Arial"/>
          <w:color w:val="000000" w:themeColor="text1"/>
          <w:sz w:val="22"/>
          <w:szCs w:val="22"/>
        </w:rPr>
        <w:t xml:space="preserve"> La EPS no remitió la información requerida sobre medicamentos pese a dos solicitudes formales y tampoco la suministró durante la visita administrativa, lo que constituye una restricción importante para la verificación institucional. Adicionalmente, en la verificación de la red farmacéutica se evidenció que en </w:t>
      </w:r>
      <w:r w:rsidRPr="00A50C92">
        <w:rPr>
          <w:rFonts w:ascii="Arial" w:hAnsi="Arial" w:cs="Arial"/>
          <w:b/>
          <w:bCs/>
          <w:color w:val="000000" w:themeColor="text1"/>
          <w:sz w:val="22"/>
          <w:szCs w:val="22"/>
        </w:rPr>
        <w:t>Kennedy</w:t>
      </w:r>
      <w:r w:rsidRPr="00A50C92">
        <w:rPr>
          <w:rFonts w:ascii="Arial" w:hAnsi="Arial" w:cs="Arial"/>
          <w:color w:val="000000" w:themeColor="text1"/>
          <w:sz w:val="22"/>
          <w:szCs w:val="22"/>
        </w:rPr>
        <w:t xml:space="preserve"> un punto no estaba prestando el servicio por no prórroga contractual, y en </w:t>
      </w:r>
      <w:r w:rsidRPr="00A50C92">
        <w:rPr>
          <w:rFonts w:ascii="Arial" w:hAnsi="Arial" w:cs="Arial"/>
          <w:b/>
          <w:bCs/>
          <w:color w:val="000000" w:themeColor="text1"/>
          <w:sz w:val="22"/>
          <w:szCs w:val="22"/>
        </w:rPr>
        <w:t>Suba</w:t>
      </w:r>
      <w:r w:rsidRPr="00A50C92">
        <w:rPr>
          <w:rFonts w:ascii="Arial" w:hAnsi="Arial" w:cs="Arial"/>
          <w:color w:val="000000" w:themeColor="text1"/>
          <w:sz w:val="22"/>
          <w:szCs w:val="22"/>
        </w:rPr>
        <w:t xml:space="preserve"> se identificó atención exclusiva a afiliados de COOSALUD, además de inconsistencias entre la dirección reportada y la verificada en terreno. Para los afiliados de COOSALUD EPS, estas fallas implican riesgo directo de interrupción en tratamientos, menor adherencia terapéutica, barreras para la dispensación oportuna y afectación especial en usuarios con enfermedades crónicas, adultos mayores, niños y gestantes. </w:t>
      </w:r>
    </w:p>
    <w:p w14:paraId="5C66789E" w14:textId="375C3B1B" w:rsidR="00A50C92" w:rsidRP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t>COOSALUD EPS cerró 2025 con un deterioro financiero estructural que compromete seriamente su capacidad para sostener la operación del aseguramiento y garantizar la atención de sus afiliados.</w:t>
      </w:r>
      <w:r w:rsidRPr="00A50C92">
        <w:rPr>
          <w:rFonts w:ascii="Arial" w:hAnsi="Arial" w:cs="Arial"/>
          <w:color w:val="000000" w:themeColor="text1"/>
          <w:sz w:val="22"/>
          <w:szCs w:val="22"/>
        </w:rPr>
        <w:t xml:space="preserve"> Aunque los activos crecieron hasta </w:t>
      </w:r>
      <w:r w:rsidRPr="00A50C92">
        <w:rPr>
          <w:rFonts w:ascii="Arial" w:hAnsi="Arial" w:cs="Arial"/>
          <w:b/>
          <w:bCs/>
          <w:color w:val="000000" w:themeColor="text1"/>
          <w:sz w:val="22"/>
          <w:szCs w:val="22"/>
        </w:rPr>
        <w:t>$2.916.073 millones</w:t>
      </w:r>
      <w:r w:rsidRPr="00A50C92">
        <w:rPr>
          <w:rFonts w:ascii="Arial" w:hAnsi="Arial" w:cs="Arial"/>
          <w:color w:val="000000" w:themeColor="text1"/>
          <w:sz w:val="22"/>
          <w:szCs w:val="22"/>
        </w:rPr>
        <w:t xml:space="preserve">, este incremento estuvo explicado principalmente por cuentas por cobrar, mientras el </w:t>
      </w:r>
      <w:r w:rsidRPr="00A50C92">
        <w:rPr>
          <w:rFonts w:ascii="Arial" w:hAnsi="Arial" w:cs="Arial"/>
          <w:b/>
          <w:bCs/>
          <w:color w:val="000000" w:themeColor="text1"/>
          <w:sz w:val="22"/>
          <w:szCs w:val="22"/>
        </w:rPr>
        <w:t>efectivo y equivalentes</w:t>
      </w:r>
      <w:r w:rsidRPr="00A50C92">
        <w:rPr>
          <w:rFonts w:ascii="Arial" w:hAnsi="Arial" w:cs="Arial"/>
          <w:color w:val="000000" w:themeColor="text1"/>
          <w:sz w:val="22"/>
          <w:szCs w:val="22"/>
        </w:rPr>
        <w:t xml:space="preserve"> cayó de </w:t>
      </w:r>
      <w:r w:rsidRPr="00A50C92">
        <w:rPr>
          <w:rFonts w:ascii="Arial" w:hAnsi="Arial" w:cs="Arial"/>
          <w:b/>
          <w:bCs/>
          <w:color w:val="000000" w:themeColor="text1"/>
          <w:sz w:val="22"/>
          <w:szCs w:val="22"/>
        </w:rPr>
        <w:t>$601.264 millones</w:t>
      </w:r>
      <w:r w:rsidRPr="00A50C92">
        <w:rPr>
          <w:rFonts w:ascii="Arial" w:hAnsi="Arial" w:cs="Arial"/>
          <w:color w:val="000000" w:themeColor="text1"/>
          <w:sz w:val="22"/>
          <w:szCs w:val="22"/>
        </w:rPr>
        <w:t xml:space="preserve"> en 2021 a </w:t>
      </w:r>
      <w:r w:rsidRPr="00A50C92">
        <w:rPr>
          <w:rFonts w:ascii="Arial" w:hAnsi="Arial" w:cs="Arial"/>
          <w:b/>
          <w:bCs/>
          <w:color w:val="000000" w:themeColor="text1"/>
          <w:sz w:val="22"/>
          <w:szCs w:val="22"/>
        </w:rPr>
        <w:t>$81.326 millones</w:t>
      </w:r>
      <w:r w:rsidRPr="00A50C92">
        <w:rPr>
          <w:rFonts w:ascii="Arial" w:hAnsi="Arial" w:cs="Arial"/>
          <w:color w:val="000000" w:themeColor="text1"/>
          <w:sz w:val="22"/>
          <w:szCs w:val="22"/>
        </w:rPr>
        <w:t xml:space="preserve"> en 2025. En paralelo, los </w:t>
      </w:r>
      <w:r w:rsidRPr="00A50C92">
        <w:rPr>
          <w:rFonts w:ascii="Arial" w:hAnsi="Arial" w:cs="Arial"/>
          <w:b/>
          <w:bCs/>
          <w:color w:val="000000" w:themeColor="text1"/>
          <w:sz w:val="22"/>
          <w:szCs w:val="22"/>
        </w:rPr>
        <w:t>pasivos</w:t>
      </w:r>
      <w:r w:rsidRPr="00A50C92">
        <w:rPr>
          <w:rFonts w:ascii="Arial" w:hAnsi="Arial" w:cs="Arial"/>
          <w:color w:val="000000" w:themeColor="text1"/>
          <w:sz w:val="22"/>
          <w:szCs w:val="22"/>
        </w:rPr>
        <w:t xml:space="preserve"> aumentaron de </w:t>
      </w:r>
      <w:r w:rsidRPr="00A50C92">
        <w:rPr>
          <w:rFonts w:ascii="Arial" w:hAnsi="Arial" w:cs="Arial"/>
          <w:b/>
          <w:bCs/>
          <w:color w:val="000000" w:themeColor="text1"/>
          <w:sz w:val="22"/>
          <w:szCs w:val="22"/>
        </w:rPr>
        <w:t>$902.037 millones</w:t>
      </w:r>
      <w:r w:rsidRPr="00A50C92">
        <w:rPr>
          <w:rFonts w:ascii="Arial" w:hAnsi="Arial" w:cs="Arial"/>
          <w:color w:val="000000" w:themeColor="text1"/>
          <w:sz w:val="22"/>
          <w:szCs w:val="22"/>
        </w:rPr>
        <w:t xml:space="preserve"> a </w:t>
      </w:r>
      <w:r w:rsidRPr="00A50C92">
        <w:rPr>
          <w:rFonts w:ascii="Arial" w:hAnsi="Arial" w:cs="Arial"/>
          <w:b/>
          <w:bCs/>
          <w:color w:val="000000" w:themeColor="text1"/>
          <w:sz w:val="22"/>
          <w:szCs w:val="22"/>
        </w:rPr>
        <w:t>$6.634.187 millones</w:t>
      </w:r>
      <w:r w:rsidRPr="00A50C92">
        <w:rPr>
          <w:rFonts w:ascii="Arial" w:hAnsi="Arial" w:cs="Arial"/>
          <w:color w:val="000000" w:themeColor="text1"/>
          <w:sz w:val="22"/>
          <w:szCs w:val="22"/>
        </w:rPr>
        <w:t xml:space="preserve"> y el </w:t>
      </w:r>
      <w:r w:rsidRPr="00A50C92">
        <w:rPr>
          <w:rFonts w:ascii="Arial" w:hAnsi="Arial" w:cs="Arial"/>
          <w:b/>
          <w:bCs/>
          <w:color w:val="000000" w:themeColor="text1"/>
          <w:sz w:val="22"/>
          <w:szCs w:val="22"/>
        </w:rPr>
        <w:t>patrimonio</w:t>
      </w:r>
      <w:r w:rsidRPr="00A50C92">
        <w:rPr>
          <w:rFonts w:ascii="Arial" w:hAnsi="Arial" w:cs="Arial"/>
          <w:color w:val="000000" w:themeColor="text1"/>
          <w:sz w:val="22"/>
          <w:szCs w:val="22"/>
        </w:rPr>
        <w:t xml:space="preserve"> pasó de </w:t>
      </w:r>
      <w:r w:rsidRPr="00A50C92">
        <w:rPr>
          <w:rFonts w:ascii="Arial" w:hAnsi="Arial" w:cs="Arial"/>
          <w:b/>
          <w:bCs/>
          <w:color w:val="000000" w:themeColor="text1"/>
          <w:sz w:val="22"/>
          <w:szCs w:val="22"/>
        </w:rPr>
        <w:t>$300.431 millones</w:t>
      </w:r>
      <w:r w:rsidRPr="00A50C92">
        <w:rPr>
          <w:rFonts w:ascii="Arial" w:hAnsi="Arial" w:cs="Arial"/>
          <w:color w:val="000000" w:themeColor="text1"/>
          <w:sz w:val="22"/>
          <w:szCs w:val="22"/>
        </w:rPr>
        <w:t xml:space="preserve"> a </w:t>
      </w:r>
      <w:r w:rsidRPr="00A50C92">
        <w:rPr>
          <w:rFonts w:ascii="Arial" w:hAnsi="Arial" w:cs="Arial"/>
          <w:b/>
          <w:bCs/>
          <w:color w:val="000000" w:themeColor="text1"/>
          <w:sz w:val="22"/>
          <w:szCs w:val="22"/>
        </w:rPr>
        <w:t>-$3.718.114 millones</w:t>
      </w:r>
      <w:r w:rsidRPr="00A50C92">
        <w:rPr>
          <w:rFonts w:ascii="Arial" w:hAnsi="Arial" w:cs="Arial"/>
          <w:color w:val="000000" w:themeColor="text1"/>
          <w:sz w:val="22"/>
          <w:szCs w:val="22"/>
        </w:rPr>
        <w:t xml:space="preserve">. Para los afiliados de COOSALUD EPS, este escenario representa un riesgo cierto sobre la continuidad de la atención, porque reduce la capacidad inmediata de la EPS para responder a obligaciones corrientes, sostener el flujo de recursos y garantizar una red suficiente y funcional en el Distrito Capital. </w:t>
      </w:r>
    </w:p>
    <w:p w14:paraId="032CA25C" w14:textId="7B4C1DA0" w:rsidR="00A50C92" w:rsidRPr="00A50C92" w:rsidRDefault="00A50C92" w:rsidP="00A50C92">
      <w:pPr>
        <w:pStyle w:val="Prrafodelista"/>
        <w:numPr>
          <w:ilvl w:val="0"/>
          <w:numId w:val="25"/>
        </w:numPr>
        <w:spacing w:line="360" w:lineRule="auto"/>
        <w:jc w:val="both"/>
        <w:rPr>
          <w:rFonts w:ascii="Arial" w:hAnsi="Arial" w:cs="Arial"/>
          <w:color w:val="000000" w:themeColor="text1"/>
          <w:sz w:val="22"/>
          <w:szCs w:val="22"/>
        </w:rPr>
      </w:pPr>
      <w:r w:rsidRPr="00A50C92">
        <w:rPr>
          <w:rFonts w:ascii="Arial" w:hAnsi="Arial" w:cs="Arial"/>
          <w:b/>
          <w:bCs/>
          <w:color w:val="000000" w:themeColor="text1"/>
          <w:sz w:val="22"/>
          <w:szCs w:val="22"/>
        </w:rPr>
        <w:lastRenderedPageBreak/>
        <w:t>COOSALUD EPS presenta un nivel de sobreendeudamiento y acumulación de obligaciones que constituye una señal de alerta mayor para la sostenibilidad del aseguramiento y la atención de sus afiliados.</w:t>
      </w:r>
      <w:r w:rsidRPr="00A50C92">
        <w:rPr>
          <w:rFonts w:ascii="Arial" w:hAnsi="Arial" w:cs="Arial"/>
          <w:color w:val="000000" w:themeColor="text1"/>
          <w:sz w:val="22"/>
          <w:szCs w:val="22"/>
        </w:rPr>
        <w:t xml:space="preserve"> El </w:t>
      </w:r>
      <w:r w:rsidRPr="00A50C92">
        <w:rPr>
          <w:rFonts w:ascii="Arial" w:hAnsi="Arial" w:cs="Arial"/>
          <w:b/>
          <w:bCs/>
          <w:color w:val="000000" w:themeColor="text1"/>
          <w:sz w:val="22"/>
          <w:szCs w:val="22"/>
        </w:rPr>
        <w:t>endeudamiento</w:t>
      </w:r>
      <w:r w:rsidRPr="00A50C92">
        <w:rPr>
          <w:rFonts w:ascii="Arial" w:hAnsi="Arial" w:cs="Arial"/>
          <w:color w:val="000000" w:themeColor="text1"/>
          <w:sz w:val="22"/>
          <w:szCs w:val="22"/>
        </w:rPr>
        <w:t xml:space="preserve"> pasó de </w:t>
      </w:r>
      <w:r w:rsidRPr="00A50C92">
        <w:rPr>
          <w:rFonts w:ascii="Arial" w:hAnsi="Arial" w:cs="Arial"/>
          <w:b/>
          <w:bCs/>
          <w:color w:val="000000" w:themeColor="text1"/>
          <w:sz w:val="22"/>
          <w:szCs w:val="22"/>
        </w:rPr>
        <w:t>75,02%</w:t>
      </w:r>
      <w:r w:rsidRPr="00A50C92">
        <w:rPr>
          <w:rFonts w:ascii="Arial" w:hAnsi="Arial" w:cs="Arial"/>
          <w:color w:val="000000" w:themeColor="text1"/>
          <w:sz w:val="22"/>
          <w:szCs w:val="22"/>
        </w:rPr>
        <w:t xml:space="preserve"> en 2021 a </w:t>
      </w:r>
      <w:r w:rsidRPr="00A50C92">
        <w:rPr>
          <w:rFonts w:ascii="Arial" w:hAnsi="Arial" w:cs="Arial"/>
          <w:b/>
          <w:bCs/>
          <w:color w:val="000000" w:themeColor="text1"/>
          <w:sz w:val="22"/>
          <w:szCs w:val="22"/>
        </w:rPr>
        <w:t>227,50%</w:t>
      </w:r>
      <w:r w:rsidRPr="00A50C92">
        <w:rPr>
          <w:rFonts w:ascii="Arial" w:hAnsi="Arial" w:cs="Arial"/>
          <w:color w:val="000000" w:themeColor="text1"/>
          <w:sz w:val="22"/>
          <w:szCs w:val="22"/>
        </w:rPr>
        <w:t xml:space="preserve"> en 2025; las </w:t>
      </w:r>
      <w:r w:rsidRPr="00A50C92">
        <w:rPr>
          <w:rFonts w:ascii="Arial" w:hAnsi="Arial" w:cs="Arial"/>
          <w:b/>
          <w:bCs/>
          <w:color w:val="000000" w:themeColor="text1"/>
          <w:sz w:val="22"/>
          <w:szCs w:val="22"/>
        </w:rPr>
        <w:t>cuentas por pagar</w:t>
      </w:r>
      <w:r w:rsidRPr="00A50C92">
        <w:rPr>
          <w:rFonts w:ascii="Arial" w:hAnsi="Arial" w:cs="Arial"/>
          <w:color w:val="000000" w:themeColor="text1"/>
          <w:sz w:val="22"/>
          <w:szCs w:val="22"/>
        </w:rPr>
        <w:t xml:space="preserve"> crecieron de </w:t>
      </w:r>
      <w:r w:rsidRPr="00A50C92">
        <w:rPr>
          <w:rFonts w:ascii="Arial" w:hAnsi="Arial" w:cs="Arial"/>
          <w:b/>
          <w:bCs/>
          <w:color w:val="000000" w:themeColor="text1"/>
          <w:sz w:val="22"/>
          <w:szCs w:val="22"/>
        </w:rPr>
        <w:t>$356.405 millones</w:t>
      </w:r>
      <w:r w:rsidRPr="00A50C92">
        <w:rPr>
          <w:rFonts w:ascii="Arial" w:hAnsi="Arial" w:cs="Arial"/>
          <w:color w:val="000000" w:themeColor="text1"/>
          <w:sz w:val="22"/>
          <w:szCs w:val="22"/>
        </w:rPr>
        <w:t xml:space="preserve"> a </w:t>
      </w:r>
      <w:r w:rsidRPr="00A50C92">
        <w:rPr>
          <w:rFonts w:ascii="Arial" w:hAnsi="Arial" w:cs="Arial"/>
          <w:b/>
          <w:bCs/>
          <w:color w:val="000000" w:themeColor="text1"/>
          <w:sz w:val="22"/>
          <w:szCs w:val="22"/>
        </w:rPr>
        <w:t>$2.543.908 millones</w:t>
      </w:r>
      <w:r w:rsidRPr="00A50C92">
        <w:rPr>
          <w:rFonts w:ascii="Arial" w:hAnsi="Arial" w:cs="Arial"/>
          <w:color w:val="000000" w:themeColor="text1"/>
          <w:sz w:val="22"/>
          <w:szCs w:val="22"/>
        </w:rPr>
        <w:t xml:space="preserve">; las </w:t>
      </w:r>
      <w:r w:rsidRPr="00A50C92">
        <w:rPr>
          <w:rFonts w:ascii="Arial" w:hAnsi="Arial" w:cs="Arial"/>
          <w:b/>
          <w:bCs/>
          <w:color w:val="000000" w:themeColor="text1"/>
          <w:sz w:val="22"/>
          <w:szCs w:val="22"/>
        </w:rPr>
        <w:t>reservas técnicas</w:t>
      </w:r>
      <w:r w:rsidRPr="00A50C92">
        <w:rPr>
          <w:rFonts w:ascii="Arial" w:hAnsi="Arial" w:cs="Arial"/>
          <w:color w:val="000000" w:themeColor="text1"/>
          <w:sz w:val="22"/>
          <w:szCs w:val="22"/>
        </w:rPr>
        <w:t xml:space="preserve"> aumentaron de </w:t>
      </w:r>
      <w:r w:rsidRPr="00A50C92">
        <w:rPr>
          <w:rFonts w:ascii="Arial" w:hAnsi="Arial" w:cs="Arial"/>
          <w:b/>
          <w:bCs/>
          <w:color w:val="000000" w:themeColor="text1"/>
          <w:sz w:val="22"/>
          <w:szCs w:val="22"/>
        </w:rPr>
        <w:t>$590.262 millones</w:t>
      </w:r>
      <w:r w:rsidRPr="00A50C92">
        <w:rPr>
          <w:rFonts w:ascii="Arial" w:hAnsi="Arial" w:cs="Arial"/>
          <w:color w:val="000000" w:themeColor="text1"/>
          <w:sz w:val="22"/>
          <w:szCs w:val="22"/>
        </w:rPr>
        <w:t xml:space="preserve"> a </w:t>
      </w:r>
      <w:r w:rsidRPr="00A50C92">
        <w:rPr>
          <w:rFonts w:ascii="Arial" w:hAnsi="Arial" w:cs="Arial"/>
          <w:b/>
          <w:bCs/>
          <w:color w:val="000000" w:themeColor="text1"/>
          <w:sz w:val="22"/>
          <w:szCs w:val="22"/>
        </w:rPr>
        <w:t>$6.513.509 millones</w:t>
      </w:r>
      <w:r w:rsidRPr="00A50C92">
        <w:rPr>
          <w:rFonts w:ascii="Arial" w:hAnsi="Arial" w:cs="Arial"/>
          <w:color w:val="000000" w:themeColor="text1"/>
          <w:sz w:val="22"/>
          <w:szCs w:val="22"/>
        </w:rPr>
        <w:t xml:space="preserve">; y la </w:t>
      </w:r>
      <w:r w:rsidRPr="00A50C92">
        <w:rPr>
          <w:rFonts w:ascii="Arial" w:hAnsi="Arial" w:cs="Arial"/>
          <w:b/>
          <w:bCs/>
          <w:color w:val="000000" w:themeColor="text1"/>
          <w:sz w:val="22"/>
          <w:szCs w:val="22"/>
        </w:rPr>
        <w:t>siniestralidad</w:t>
      </w:r>
      <w:r w:rsidRPr="00A50C92">
        <w:rPr>
          <w:rFonts w:ascii="Arial" w:hAnsi="Arial" w:cs="Arial"/>
          <w:color w:val="000000" w:themeColor="text1"/>
          <w:sz w:val="22"/>
          <w:szCs w:val="22"/>
        </w:rPr>
        <w:t xml:space="preserve"> cerró diciembre de 2025 en </w:t>
      </w:r>
      <w:r w:rsidRPr="00A50C92">
        <w:rPr>
          <w:rFonts w:ascii="Arial" w:hAnsi="Arial" w:cs="Arial"/>
          <w:b/>
          <w:bCs/>
          <w:color w:val="000000" w:themeColor="text1"/>
          <w:sz w:val="22"/>
          <w:szCs w:val="22"/>
        </w:rPr>
        <w:t>132,17%</w:t>
      </w:r>
      <w:r w:rsidRPr="00A50C92">
        <w:rPr>
          <w:rFonts w:ascii="Arial" w:hAnsi="Arial" w:cs="Arial"/>
          <w:color w:val="000000" w:themeColor="text1"/>
          <w:sz w:val="22"/>
          <w:szCs w:val="22"/>
        </w:rPr>
        <w:t>, el punto más alto del año. Para los afiliados de COOSALUD EPS, esta combinación implica un riesgo estructural de afectación en el giro oportuno de recursos hacia la red, debilitamiento de la capacidad de respuesta, mayores tensiones con prestadores y probabilidad creciente de que los problemas financieros se traduzcan en barreras concretas de acceso, demoras en la atención y discontinuidad de servicios en Bogotá D. C</w:t>
      </w:r>
    </w:p>
    <w:p w14:paraId="189E76F4" w14:textId="77777777" w:rsidR="00EA3126" w:rsidRPr="006068A2" w:rsidRDefault="00EA3126" w:rsidP="006068A2">
      <w:pPr>
        <w:spacing w:line="360" w:lineRule="auto"/>
        <w:jc w:val="both"/>
        <w:rPr>
          <w:rFonts w:ascii="Arial" w:eastAsia="Arial" w:hAnsi="Arial" w:cs="Arial"/>
          <w:sz w:val="22"/>
          <w:szCs w:val="22"/>
        </w:rPr>
      </w:pPr>
    </w:p>
    <w:p w14:paraId="17025E55" w14:textId="4631F455" w:rsidR="00F12BBF" w:rsidRPr="006068A2" w:rsidRDefault="00F12BBF" w:rsidP="00A50C92">
      <w:pPr>
        <w:pStyle w:val="Ttulo1"/>
        <w:numPr>
          <w:ilvl w:val="0"/>
          <w:numId w:val="25"/>
        </w:numPr>
        <w:spacing w:before="0" w:line="360" w:lineRule="auto"/>
        <w:jc w:val="both"/>
        <w:rPr>
          <w:rFonts w:ascii="Arial" w:hAnsi="Arial" w:cs="Arial"/>
          <w:b/>
          <w:bCs/>
          <w:color w:val="auto"/>
          <w:sz w:val="22"/>
          <w:szCs w:val="22"/>
        </w:rPr>
      </w:pPr>
      <w:bookmarkStart w:id="79" w:name="_Toc229397866"/>
      <w:r w:rsidRPr="006068A2">
        <w:rPr>
          <w:rFonts w:ascii="Arial" w:hAnsi="Arial" w:cs="Arial"/>
          <w:b/>
          <w:bCs/>
          <w:color w:val="auto"/>
          <w:sz w:val="22"/>
          <w:szCs w:val="22"/>
        </w:rPr>
        <w:t>GLOSARIO DE TERMINOS</w:t>
      </w:r>
      <w:bookmarkEnd w:id="79"/>
    </w:p>
    <w:p w14:paraId="50E992E8" w14:textId="77777777" w:rsidR="00F12BBF" w:rsidRPr="006068A2" w:rsidRDefault="00F12BBF" w:rsidP="006068A2">
      <w:pPr>
        <w:spacing w:line="360" w:lineRule="auto"/>
        <w:jc w:val="both"/>
        <w:rPr>
          <w:rFonts w:ascii="Arial" w:eastAsia="Arial" w:hAnsi="Arial" w:cs="Arial"/>
          <w:b/>
          <w:bCs/>
          <w:sz w:val="22"/>
          <w:szCs w:val="22"/>
        </w:rPr>
      </w:pPr>
    </w:p>
    <w:p w14:paraId="2BB5B8AE" w14:textId="366F82F9" w:rsidR="00F12BBF" w:rsidRPr="006068A2" w:rsidRDefault="00000000" w:rsidP="006068A2">
      <w:pPr>
        <w:spacing w:line="360" w:lineRule="auto"/>
        <w:ind w:firstLine="709"/>
        <w:jc w:val="both"/>
        <w:rPr>
          <w:rFonts w:ascii="Arial" w:eastAsia="Arial" w:hAnsi="Arial" w:cs="Arial"/>
          <w:color w:val="0A0A0A"/>
          <w:sz w:val="22"/>
          <w:szCs w:val="22"/>
          <w:lang w:val="es-ES"/>
        </w:rPr>
      </w:pPr>
      <w:hyperlink r:id="rId42">
        <w:r w:rsidR="00F12BBF" w:rsidRPr="006068A2">
          <w:rPr>
            <w:rStyle w:val="Hipervnculo"/>
            <w:rFonts w:ascii="Arial" w:eastAsia="Arial" w:hAnsi="Arial" w:cs="Arial"/>
            <w:b/>
            <w:bCs/>
            <w:color w:val="0A0A0A"/>
            <w:sz w:val="22"/>
            <w:szCs w:val="22"/>
            <w:u w:val="none"/>
            <w:lang w:val="es-ES"/>
          </w:rPr>
          <w:t>EPS</w:t>
        </w:r>
      </w:hyperlink>
      <w:r w:rsidR="009F264D" w:rsidRPr="006068A2">
        <w:rPr>
          <w:rStyle w:val="Hipervnculo"/>
          <w:rFonts w:ascii="Arial" w:eastAsia="Arial" w:hAnsi="Arial" w:cs="Arial"/>
          <w:b/>
          <w:bCs/>
          <w:color w:val="0A0A0A"/>
          <w:sz w:val="22"/>
          <w:szCs w:val="22"/>
          <w:u w:val="none"/>
          <w:lang w:val="es-ES"/>
        </w:rPr>
        <w:t>:</w:t>
      </w:r>
      <w:r w:rsidR="00F12BBF" w:rsidRPr="006068A2">
        <w:rPr>
          <w:rFonts w:ascii="Arial" w:eastAsia="Arial" w:hAnsi="Arial" w:cs="Arial"/>
          <w:b/>
          <w:bCs/>
          <w:color w:val="0A0A0A"/>
          <w:sz w:val="22"/>
          <w:szCs w:val="22"/>
          <w:lang w:val="es-ES"/>
        </w:rPr>
        <w:t xml:space="preserve"> (Entidad Promotora de Salud):</w:t>
      </w:r>
      <w:r w:rsidR="00F12BBF" w:rsidRPr="006068A2">
        <w:rPr>
          <w:rFonts w:ascii="Arial" w:eastAsia="Arial" w:hAnsi="Arial" w:cs="Arial"/>
          <w:color w:val="0A0A0A"/>
          <w:sz w:val="22"/>
          <w:szCs w:val="22"/>
          <w:lang w:val="es-ES"/>
        </w:rPr>
        <w:t xml:space="preserve"> Son las aseguradoras. Su función principal es organizar y garantizar el acceso al plan de beneficios (POS), afiliar a los usuarios, recaudar cotizaciones y administrar los recursos financieros. </w:t>
      </w:r>
    </w:p>
    <w:p w14:paraId="757AC259" w14:textId="77777777" w:rsidR="00F12BBF" w:rsidRPr="006068A2" w:rsidRDefault="00F12BBF" w:rsidP="006068A2">
      <w:pPr>
        <w:shd w:val="clear" w:color="auto" w:fill="FFFFFF" w:themeFill="background1"/>
        <w:spacing w:line="360" w:lineRule="auto"/>
        <w:ind w:firstLine="709"/>
        <w:jc w:val="both"/>
        <w:rPr>
          <w:rFonts w:ascii="Arial" w:eastAsia="Arial" w:hAnsi="Arial" w:cs="Arial"/>
          <w:color w:val="0A0A0A"/>
          <w:sz w:val="22"/>
          <w:szCs w:val="22"/>
          <w:lang w:val="es-ES"/>
        </w:rPr>
      </w:pPr>
    </w:p>
    <w:p w14:paraId="017EDA0E" w14:textId="6F0054A2" w:rsidR="00F12BBF" w:rsidRPr="006068A2" w:rsidRDefault="00F12BBF" w:rsidP="006068A2">
      <w:pPr>
        <w:shd w:val="clear" w:color="auto" w:fill="FFFFFF" w:themeFill="background1"/>
        <w:spacing w:line="360" w:lineRule="auto"/>
        <w:ind w:firstLine="709"/>
        <w:jc w:val="both"/>
        <w:rPr>
          <w:rFonts w:ascii="Arial" w:eastAsia="Arial" w:hAnsi="Arial" w:cs="Arial"/>
          <w:color w:val="0A0A0A"/>
          <w:sz w:val="22"/>
          <w:szCs w:val="22"/>
          <w:lang w:val="es-ES"/>
        </w:rPr>
      </w:pPr>
      <w:r w:rsidRPr="006068A2">
        <w:rPr>
          <w:rFonts w:ascii="Arial" w:eastAsia="Arial" w:hAnsi="Arial" w:cs="Arial"/>
          <w:b/>
          <w:bCs/>
          <w:color w:val="0A0A0A"/>
          <w:sz w:val="22"/>
          <w:szCs w:val="22"/>
          <w:lang w:val="es-ES"/>
        </w:rPr>
        <w:t>IPS</w:t>
      </w:r>
      <w:r w:rsidR="009F264D" w:rsidRPr="006068A2">
        <w:rPr>
          <w:rFonts w:ascii="Arial" w:eastAsia="Arial" w:hAnsi="Arial" w:cs="Arial"/>
          <w:b/>
          <w:bCs/>
          <w:color w:val="0A0A0A"/>
          <w:sz w:val="22"/>
          <w:szCs w:val="22"/>
          <w:lang w:val="es-ES"/>
        </w:rPr>
        <w:t>:</w:t>
      </w:r>
      <w:r w:rsidRPr="006068A2">
        <w:rPr>
          <w:rFonts w:ascii="Arial" w:eastAsia="Arial" w:hAnsi="Arial" w:cs="Arial"/>
          <w:b/>
          <w:bCs/>
          <w:color w:val="0A0A0A"/>
          <w:sz w:val="22"/>
          <w:szCs w:val="22"/>
          <w:lang w:val="es-ES"/>
        </w:rPr>
        <w:t xml:space="preserve"> (Institución Prestadora de Servicios de Salud)</w:t>
      </w:r>
      <w:r w:rsidRPr="006068A2">
        <w:rPr>
          <w:rFonts w:ascii="Arial" w:eastAsia="Arial" w:hAnsi="Arial" w:cs="Arial"/>
          <w:color w:val="0A0A0A"/>
          <w:sz w:val="22"/>
          <w:szCs w:val="22"/>
          <w:lang w:val="es-ES"/>
        </w:rPr>
        <w:t xml:space="preserve">: Son los prestadores. Son los hospitales, clínicas, laboratorios y consultorios médicos donde los usuarios reciben atención, citas, exámenes y cirugías. Pueden ser públicas o privadas.  </w:t>
      </w:r>
    </w:p>
    <w:p w14:paraId="7A7FF92A" w14:textId="77777777" w:rsidR="00F12BBF" w:rsidRPr="006068A2" w:rsidRDefault="00F12BBF" w:rsidP="006068A2">
      <w:pPr>
        <w:shd w:val="clear" w:color="auto" w:fill="FFFFFF" w:themeFill="background1"/>
        <w:spacing w:line="360" w:lineRule="auto"/>
        <w:ind w:firstLine="709"/>
        <w:jc w:val="both"/>
        <w:rPr>
          <w:rFonts w:ascii="Arial" w:eastAsia="Arial" w:hAnsi="Arial" w:cs="Arial"/>
          <w:color w:val="0A0A0A"/>
          <w:sz w:val="22"/>
          <w:szCs w:val="22"/>
          <w:lang w:val="es-ES"/>
        </w:rPr>
      </w:pPr>
    </w:p>
    <w:p w14:paraId="1A86B54D" w14:textId="7ABBC44F" w:rsidR="00F12BBF" w:rsidRPr="006068A2" w:rsidRDefault="00000000" w:rsidP="006068A2">
      <w:pPr>
        <w:pStyle w:val="Prrafodelista"/>
        <w:shd w:val="clear" w:color="auto" w:fill="FFFFFF" w:themeFill="background1"/>
        <w:spacing w:line="360" w:lineRule="auto"/>
        <w:ind w:left="0" w:firstLine="709"/>
        <w:jc w:val="both"/>
        <w:rPr>
          <w:rFonts w:ascii="Arial" w:eastAsia="Arial" w:hAnsi="Arial" w:cs="Arial"/>
          <w:color w:val="0A0A0A"/>
          <w:sz w:val="22"/>
          <w:szCs w:val="22"/>
          <w:lang w:val="es-ES"/>
        </w:rPr>
      </w:pPr>
      <w:hyperlink r:id="rId43">
        <w:r w:rsidR="00F12BBF" w:rsidRPr="006068A2">
          <w:rPr>
            <w:rStyle w:val="Hipervnculo"/>
            <w:rFonts w:ascii="Arial" w:eastAsia="Arial" w:hAnsi="Arial" w:cs="Arial"/>
            <w:b/>
            <w:bCs/>
            <w:color w:val="0A0A0A"/>
            <w:sz w:val="22"/>
            <w:szCs w:val="22"/>
            <w:u w:val="none"/>
            <w:lang w:val="es-ES"/>
          </w:rPr>
          <w:t>EAPB</w:t>
        </w:r>
      </w:hyperlink>
      <w:r w:rsidR="009F264D" w:rsidRPr="006068A2">
        <w:rPr>
          <w:rStyle w:val="Hipervnculo"/>
          <w:rFonts w:ascii="Arial" w:eastAsia="Arial" w:hAnsi="Arial" w:cs="Arial"/>
          <w:b/>
          <w:bCs/>
          <w:color w:val="0A0A0A"/>
          <w:sz w:val="22"/>
          <w:szCs w:val="22"/>
          <w:u w:val="none"/>
          <w:lang w:val="es-ES"/>
        </w:rPr>
        <w:t>:</w:t>
      </w:r>
      <w:r w:rsidR="00F12BBF" w:rsidRPr="006068A2">
        <w:rPr>
          <w:rFonts w:ascii="Arial" w:eastAsia="Arial" w:hAnsi="Arial" w:cs="Arial"/>
          <w:b/>
          <w:bCs/>
          <w:color w:val="0A0A0A"/>
          <w:sz w:val="22"/>
          <w:szCs w:val="22"/>
          <w:lang w:val="es-ES"/>
        </w:rPr>
        <w:t xml:space="preserve"> (Empresas Administradoras de Planes de Beneficios):</w:t>
      </w:r>
      <w:r w:rsidR="00F12BBF" w:rsidRPr="006068A2">
        <w:rPr>
          <w:rFonts w:ascii="Arial" w:eastAsia="Arial" w:hAnsi="Arial" w:cs="Arial"/>
          <w:color w:val="0A0A0A"/>
          <w:sz w:val="22"/>
          <w:szCs w:val="22"/>
          <w:lang w:val="es-ES"/>
        </w:rPr>
        <w:t xml:space="preserve"> Es un concepto más amplio que abarca a las EPS, EPS Indígenas, Entidades Adaptadas y Cajas de Compensación Familiar que administran los recursos del régimen contributivo y subsidiado. </w:t>
      </w:r>
    </w:p>
    <w:p w14:paraId="3CE5FF59" w14:textId="77777777" w:rsidR="00F12BBF" w:rsidRPr="006068A2" w:rsidRDefault="00F12BBF" w:rsidP="006068A2">
      <w:pPr>
        <w:spacing w:line="360" w:lineRule="auto"/>
        <w:ind w:firstLine="709"/>
        <w:jc w:val="both"/>
        <w:rPr>
          <w:rFonts w:ascii="Arial" w:eastAsia="Arial" w:hAnsi="Arial" w:cs="Arial"/>
          <w:sz w:val="22"/>
          <w:szCs w:val="22"/>
        </w:rPr>
      </w:pPr>
    </w:p>
    <w:p w14:paraId="5E81D1E5" w14:textId="58E3F6A7" w:rsidR="00F12BBF" w:rsidRPr="006068A2" w:rsidRDefault="00F12BBF" w:rsidP="006068A2">
      <w:pPr>
        <w:spacing w:line="360" w:lineRule="auto"/>
        <w:ind w:firstLine="709"/>
        <w:jc w:val="both"/>
        <w:rPr>
          <w:rFonts w:ascii="Arial" w:eastAsia="Arial" w:hAnsi="Arial" w:cs="Arial"/>
          <w:sz w:val="22"/>
          <w:szCs w:val="22"/>
        </w:rPr>
      </w:pPr>
      <w:r w:rsidRPr="006068A2">
        <w:rPr>
          <w:rFonts w:ascii="Arial" w:eastAsia="Arial" w:hAnsi="Arial" w:cs="Arial"/>
          <w:b/>
          <w:bCs/>
          <w:sz w:val="22"/>
          <w:szCs w:val="22"/>
        </w:rPr>
        <w:t>UPC</w:t>
      </w:r>
      <w:r w:rsidR="009F264D" w:rsidRPr="006068A2">
        <w:rPr>
          <w:rFonts w:ascii="Arial" w:eastAsia="Arial" w:hAnsi="Arial" w:cs="Arial"/>
          <w:b/>
          <w:bCs/>
          <w:sz w:val="22"/>
          <w:szCs w:val="22"/>
        </w:rPr>
        <w:t xml:space="preserve">:  </w:t>
      </w:r>
      <w:r w:rsidRPr="006068A2">
        <w:rPr>
          <w:rFonts w:ascii="Arial" w:eastAsia="Arial" w:hAnsi="Arial" w:cs="Arial"/>
          <w:sz w:val="22"/>
          <w:szCs w:val="22"/>
        </w:rPr>
        <w:t>Unidad de pago por capitación, es el valor anual que el Estado (a través, de la ADRES) gira a las Entidades Promotoras de Salud (EPS) por cada afiliado.</w:t>
      </w:r>
    </w:p>
    <w:p w14:paraId="355E32DB" w14:textId="77777777" w:rsidR="00F12BBF" w:rsidRPr="006068A2" w:rsidRDefault="00F12BBF" w:rsidP="006068A2">
      <w:pPr>
        <w:spacing w:line="360" w:lineRule="auto"/>
        <w:ind w:firstLine="709"/>
        <w:jc w:val="both"/>
        <w:rPr>
          <w:rFonts w:ascii="Arial" w:eastAsia="Arial" w:hAnsi="Arial" w:cs="Arial"/>
          <w:sz w:val="22"/>
          <w:szCs w:val="22"/>
        </w:rPr>
      </w:pPr>
    </w:p>
    <w:p w14:paraId="79D1CE47" w14:textId="77777777" w:rsidR="00F12BBF" w:rsidRPr="006068A2" w:rsidRDefault="00F12BBF" w:rsidP="006068A2">
      <w:pPr>
        <w:spacing w:line="360" w:lineRule="auto"/>
        <w:ind w:firstLine="709"/>
        <w:jc w:val="both"/>
        <w:rPr>
          <w:rFonts w:ascii="Arial" w:eastAsia="Arial" w:hAnsi="Arial" w:cs="Arial"/>
          <w:b/>
          <w:bCs/>
          <w:sz w:val="22"/>
          <w:szCs w:val="22"/>
        </w:rPr>
      </w:pPr>
      <w:r w:rsidRPr="006068A2">
        <w:rPr>
          <w:rFonts w:ascii="Arial" w:eastAsia="Arial" w:hAnsi="Arial" w:cs="Arial"/>
          <w:b/>
          <w:bCs/>
          <w:color w:val="0A0A0A"/>
          <w:sz w:val="22"/>
          <w:szCs w:val="22"/>
          <w:lang w:val="es-ES"/>
        </w:rPr>
        <w:t>PBS</w:t>
      </w:r>
      <w:r w:rsidRPr="006068A2">
        <w:rPr>
          <w:rFonts w:ascii="Arial" w:eastAsia="Arial" w:hAnsi="Arial" w:cs="Arial"/>
          <w:color w:val="0A0A0A"/>
          <w:sz w:val="22"/>
          <w:szCs w:val="22"/>
          <w:lang w:val="es-ES"/>
        </w:rPr>
        <w:t>: Plan de Beneficios de Salud, es el conjunto de servicios, medicamentos y procedimientos a los que tiene derecho el usuario.</w:t>
      </w:r>
    </w:p>
    <w:p w14:paraId="00E36804"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2F1A1C6C"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r w:rsidRPr="006068A2">
        <w:rPr>
          <w:rFonts w:ascii="Arial" w:eastAsia="Arial" w:hAnsi="Arial" w:cs="Arial"/>
          <w:b/>
          <w:bCs/>
          <w:color w:val="0A0A0A"/>
          <w:sz w:val="22"/>
          <w:szCs w:val="22"/>
          <w:lang w:val="es-ES"/>
        </w:rPr>
        <w:lastRenderedPageBreak/>
        <w:t>Régimen Contributivo</w:t>
      </w:r>
      <w:r w:rsidRPr="006068A2">
        <w:rPr>
          <w:rFonts w:ascii="Arial" w:eastAsia="Arial" w:hAnsi="Arial" w:cs="Arial"/>
          <w:color w:val="0A0A0A"/>
          <w:sz w:val="22"/>
          <w:szCs w:val="22"/>
          <w:lang w:val="es-ES"/>
        </w:rPr>
        <w:t>: sistema para personas con capacidad de pago (trabajadores, pensionados).</w:t>
      </w:r>
    </w:p>
    <w:p w14:paraId="17C13334" w14:textId="77777777" w:rsidR="00F12BBF" w:rsidRPr="006068A2" w:rsidRDefault="00F12BBF" w:rsidP="006068A2">
      <w:pPr>
        <w:shd w:val="clear" w:color="auto" w:fill="FFFFFF" w:themeFill="background1"/>
        <w:spacing w:line="360" w:lineRule="auto"/>
        <w:ind w:firstLine="709"/>
        <w:jc w:val="both"/>
        <w:rPr>
          <w:rFonts w:ascii="Arial" w:eastAsia="Arial" w:hAnsi="Arial" w:cs="Arial"/>
          <w:b/>
          <w:bCs/>
          <w:color w:val="0A0A0A"/>
          <w:sz w:val="22"/>
          <w:szCs w:val="22"/>
          <w:lang w:val="es-ES"/>
        </w:rPr>
      </w:pPr>
    </w:p>
    <w:p w14:paraId="69D61A4E" w14:textId="77777777" w:rsidR="00F12BBF" w:rsidRPr="006068A2" w:rsidRDefault="00F12BBF" w:rsidP="006068A2">
      <w:pPr>
        <w:shd w:val="clear" w:color="auto" w:fill="FFFFFF" w:themeFill="background1"/>
        <w:spacing w:line="360" w:lineRule="auto"/>
        <w:ind w:firstLine="709"/>
        <w:jc w:val="both"/>
        <w:rPr>
          <w:rFonts w:ascii="Arial" w:eastAsia="Arial" w:hAnsi="Arial" w:cs="Arial"/>
          <w:color w:val="0A0A0A"/>
          <w:sz w:val="22"/>
          <w:szCs w:val="22"/>
          <w:lang w:val="es-ES"/>
        </w:rPr>
      </w:pPr>
      <w:r w:rsidRPr="006068A2">
        <w:rPr>
          <w:rFonts w:ascii="Arial" w:eastAsia="Arial" w:hAnsi="Arial" w:cs="Arial"/>
          <w:b/>
          <w:bCs/>
          <w:color w:val="0A0A0A"/>
          <w:sz w:val="22"/>
          <w:szCs w:val="22"/>
          <w:lang w:val="es-ES"/>
        </w:rPr>
        <w:t>Régimen Subsidiado</w:t>
      </w:r>
      <w:r w:rsidRPr="006068A2">
        <w:rPr>
          <w:rFonts w:ascii="Arial" w:eastAsia="Arial" w:hAnsi="Arial" w:cs="Arial"/>
          <w:color w:val="0A0A0A"/>
          <w:sz w:val="22"/>
          <w:szCs w:val="22"/>
          <w:lang w:val="es-ES"/>
        </w:rPr>
        <w:t>: sistema para población pobre y vulnerable, financiado por el Estado.</w:t>
      </w:r>
    </w:p>
    <w:p w14:paraId="55BC24AC" w14:textId="77777777" w:rsidR="00F12BBF" w:rsidRPr="006068A2" w:rsidRDefault="00F12BBF" w:rsidP="006068A2">
      <w:pPr>
        <w:shd w:val="clear" w:color="auto" w:fill="FFFFFF" w:themeFill="background1"/>
        <w:spacing w:line="360" w:lineRule="auto"/>
        <w:ind w:firstLine="709"/>
        <w:jc w:val="both"/>
        <w:rPr>
          <w:rFonts w:ascii="Arial" w:eastAsia="Arial" w:hAnsi="Arial" w:cs="Arial"/>
          <w:color w:val="0A0A0A"/>
          <w:sz w:val="22"/>
          <w:szCs w:val="22"/>
          <w:lang w:val="es-ES"/>
        </w:rPr>
      </w:pPr>
    </w:p>
    <w:p w14:paraId="2DD7C615" w14:textId="77777777" w:rsidR="00F12BBF" w:rsidRPr="006068A2" w:rsidRDefault="00F12BBF" w:rsidP="006068A2">
      <w:pPr>
        <w:shd w:val="clear" w:color="auto" w:fill="FFFFFF" w:themeFill="background1"/>
        <w:spacing w:line="360" w:lineRule="auto"/>
        <w:ind w:firstLine="709"/>
        <w:jc w:val="both"/>
        <w:rPr>
          <w:rFonts w:ascii="Arial" w:eastAsia="Arial" w:hAnsi="Arial" w:cs="Arial"/>
          <w:color w:val="001D35"/>
          <w:sz w:val="22"/>
          <w:szCs w:val="22"/>
          <w:lang w:val="es-ES"/>
        </w:rPr>
      </w:pPr>
      <w:r w:rsidRPr="006068A2">
        <w:rPr>
          <w:rFonts w:ascii="Arial" w:eastAsia="Arial" w:hAnsi="Arial" w:cs="Arial"/>
          <w:b/>
          <w:bCs/>
          <w:sz w:val="22"/>
          <w:szCs w:val="22"/>
          <w:lang w:val="es-ES"/>
        </w:rPr>
        <w:t>Condiciones Financieras</w:t>
      </w:r>
      <w:r w:rsidRPr="006068A2">
        <w:rPr>
          <w:rFonts w:ascii="Arial" w:eastAsia="Arial" w:hAnsi="Arial" w:cs="Arial"/>
          <w:sz w:val="22"/>
          <w:szCs w:val="22"/>
          <w:lang w:val="es-ES"/>
        </w:rPr>
        <w:t>: en el sector salud, se refieren a los requisitos de solvencia, liquidez, patrimonio y capital mínimo que deben cumplir las entidades aseguradoras (EPS) y prestadoras (IPS) para garantizar la atención a los usuarios y la sostenibilidad del sistema</w:t>
      </w:r>
      <w:r w:rsidRPr="006068A2">
        <w:rPr>
          <w:rFonts w:ascii="Arial" w:eastAsia="Arial" w:hAnsi="Arial" w:cs="Arial"/>
          <w:color w:val="0A0A0A"/>
          <w:sz w:val="22"/>
          <w:szCs w:val="22"/>
          <w:lang w:val="es-ES"/>
        </w:rPr>
        <w:t>.</w:t>
      </w:r>
    </w:p>
    <w:p w14:paraId="49D6E72C" w14:textId="77777777" w:rsidR="00F12BBF" w:rsidRPr="006068A2" w:rsidRDefault="00F12BBF" w:rsidP="006068A2">
      <w:pPr>
        <w:shd w:val="clear" w:color="auto" w:fill="FFFFFF" w:themeFill="background1"/>
        <w:spacing w:line="360" w:lineRule="auto"/>
        <w:ind w:firstLine="709"/>
        <w:jc w:val="both"/>
        <w:rPr>
          <w:rFonts w:ascii="Arial" w:eastAsia="Arial" w:hAnsi="Arial" w:cs="Arial"/>
          <w:color w:val="0A0A0A"/>
          <w:sz w:val="22"/>
          <w:szCs w:val="22"/>
          <w:lang w:val="es-ES"/>
        </w:rPr>
      </w:pPr>
    </w:p>
    <w:p w14:paraId="546F7121" w14:textId="77777777" w:rsidR="00F12BBF" w:rsidRPr="006068A2" w:rsidRDefault="00F12BBF" w:rsidP="006068A2">
      <w:pPr>
        <w:shd w:val="clear" w:color="auto" w:fill="FFFFFF" w:themeFill="background1"/>
        <w:spacing w:line="360" w:lineRule="auto"/>
        <w:ind w:firstLine="709"/>
        <w:jc w:val="both"/>
        <w:rPr>
          <w:rFonts w:ascii="Arial" w:eastAsia="Arial" w:hAnsi="Arial" w:cs="Arial"/>
          <w:sz w:val="22"/>
          <w:szCs w:val="22"/>
          <w:lang w:val="es-ES"/>
        </w:rPr>
      </w:pPr>
      <w:r w:rsidRPr="006068A2">
        <w:rPr>
          <w:rFonts w:ascii="Arial" w:eastAsia="Arial" w:hAnsi="Arial" w:cs="Arial"/>
          <w:b/>
          <w:bCs/>
          <w:color w:val="0A0A0A"/>
          <w:sz w:val="22"/>
          <w:szCs w:val="22"/>
          <w:lang w:val="es-ES"/>
        </w:rPr>
        <w:t>Activo:</w:t>
      </w:r>
      <w:r w:rsidRPr="006068A2">
        <w:rPr>
          <w:rFonts w:ascii="Arial" w:eastAsia="Arial" w:hAnsi="Arial" w:cs="Arial"/>
          <w:color w:val="0A0A0A"/>
          <w:sz w:val="22"/>
          <w:szCs w:val="22"/>
          <w:lang w:val="es-ES"/>
        </w:rPr>
        <w:t xml:space="preserve"> es cualquier bien, recurso o derecho de propiedad de una entidad (hospital, clínica, EPS) que tiene valor económico, es controlado por la empresa y se espera que genere beneficios económicos o asistenciales futuros.</w:t>
      </w:r>
    </w:p>
    <w:p w14:paraId="5253D947" w14:textId="77777777" w:rsidR="00F12BBF" w:rsidRPr="006068A2" w:rsidRDefault="00F12BBF" w:rsidP="006068A2">
      <w:pPr>
        <w:shd w:val="clear" w:color="auto" w:fill="FFFFFF" w:themeFill="background1"/>
        <w:spacing w:line="360" w:lineRule="auto"/>
        <w:ind w:firstLine="709"/>
        <w:jc w:val="both"/>
        <w:rPr>
          <w:rFonts w:ascii="Arial" w:eastAsia="Arial" w:hAnsi="Arial" w:cs="Arial"/>
          <w:sz w:val="22"/>
          <w:szCs w:val="22"/>
          <w:lang w:val="es-ES"/>
        </w:rPr>
      </w:pPr>
    </w:p>
    <w:p w14:paraId="75C34DE9" w14:textId="77777777" w:rsidR="00F12BBF" w:rsidRPr="006068A2" w:rsidRDefault="00F12BBF" w:rsidP="006068A2">
      <w:pPr>
        <w:shd w:val="clear" w:color="auto" w:fill="FFFFFF" w:themeFill="background1"/>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Activo Corriente:</w:t>
      </w:r>
      <w:r w:rsidRPr="006068A2">
        <w:rPr>
          <w:rFonts w:ascii="Arial" w:eastAsia="Arial" w:hAnsi="Arial" w:cs="Arial"/>
          <w:sz w:val="22"/>
          <w:szCs w:val="22"/>
          <w:lang w:val="es-ES"/>
        </w:rPr>
        <w:t xml:space="preserve"> en el ámbito financiero-salud son los </w:t>
      </w:r>
      <w:r w:rsidRPr="006068A2">
        <w:rPr>
          <w:rFonts w:ascii="Arial" w:eastAsia="Arial" w:hAnsi="Arial" w:cs="Arial"/>
          <w:color w:val="001D35"/>
          <w:sz w:val="22"/>
          <w:szCs w:val="22"/>
          <w:lang w:val="es-ES"/>
        </w:rPr>
        <w:t>recursos, bienes o derechos que una empresa (hospital, EPS, IPS) espera convertir en efectivo, vender o consumir en un plazo menor a un año</w:t>
      </w:r>
    </w:p>
    <w:p w14:paraId="6090CAAB" w14:textId="77777777" w:rsidR="00F12BBF" w:rsidRPr="006068A2" w:rsidRDefault="00F12BBF" w:rsidP="006068A2">
      <w:pPr>
        <w:shd w:val="clear" w:color="auto" w:fill="FFFFFF" w:themeFill="background1"/>
        <w:spacing w:line="360" w:lineRule="auto"/>
        <w:ind w:firstLine="709"/>
        <w:jc w:val="both"/>
        <w:rPr>
          <w:rFonts w:ascii="Arial" w:eastAsia="Arial" w:hAnsi="Arial" w:cs="Arial"/>
          <w:b/>
          <w:bCs/>
          <w:color w:val="0A0A0A"/>
          <w:sz w:val="22"/>
          <w:szCs w:val="22"/>
          <w:lang w:val="es-ES"/>
        </w:rPr>
      </w:pPr>
    </w:p>
    <w:p w14:paraId="2DBBF909" w14:textId="77777777" w:rsidR="00F12BBF" w:rsidRPr="006068A2" w:rsidRDefault="00F12BBF" w:rsidP="006068A2">
      <w:pPr>
        <w:shd w:val="clear" w:color="auto" w:fill="FFFFFF" w:themeFill="background1"/>
        <w:spacing w:line="360" w:lineRule="auto"/>
        <w:ind w:firstLine="709"/>
        <w:jc w:val="both"/>
        <w:rPr>
          <w:rFonts w:ascii="Arial" w:eastAsia="Arial" w:hAnsi="Arial" w:cs="Arial"/>
          <w:sz w:val="22"/>
          <w:szCs w:val="22"/>
          <w:lang w:val="es-ES"/>
        </w:rPr>
      </w:pPr>
      <w:r w:rsidRPr="006068A2">
        <w:rPr>
          <w:rFonts w:ascii="Arial" w:eastAsia="Arial" w:hAnsi="Arial" w:cs="Arial"/>
          <w:b/>
          <w:bCs/>
          <w:color w:val="0A0A0A"/>
          <w:sz w:val="22"/>
          <w:szCs w:val="22"/>
          <w:lang w:val="es-ES"/>
        </w:rPr>
        <w:t>Pasivo:</w:t>
      </w:r>
      <w:r w:rsidRPr="006068A2">
        <w:rPr>
          <w:rFonts w:ascii="Arial" w:eastAsia="Arial" w:hAnsi="Arial" w:cs="Arial"/>
          <w:color w:val="0A0A0A"/>
          <w:sz w:val="22"/>
          <w:szCs w:val="22"/>
          <w:lang w:val="es-ES"/>
        </w:rPr>
        <w:t xml:space="preserve"> representa todas las deudas y obligaciones presentes, como cuentas por pagar a proveedores médicos o salarios. </w:t>
      </w:r>
    </w:p>
    <w:p w14:paraId="1F4D8BDD" w14:textId="77777777" w:rsidR="00F12BBF" w:rsidRPr="006068A2" w:rsidRDefault="00F12BBF" w:rsidP="006068A2">
      <w:pPr>
        <w:shd w:val="clear" w:color="auto" w:fill="FFFFFF" w:themeFill="background1"/>
        <w:spacing w:line="360" w:lineRule="auto"/>
        <w:ind w:firstLine="709"/>
        <w:jc w:val="both"/>
        <w:rPr>
          <w:rFonts w:ascii="Arial" w:eastAsia="Arial" w:hAnsi="Arial" w:cs="Arial"/>
          <w:color w:val="0A0A0A"/>
          <w:sz w:val="22"/>
          <w:szCs w:val="22"/>
          <w:lang w:val="es-ES"/>
        </w:rPr>
      </w:pPr>
    </w:p>
    <w:p w14:paraId="7CFB5C99" w14:textId="77777777" w:rsidR="00F12BBF" w:rsidRPr="006068A2" w:rsidRDefault="00F12BBF" w:rsidP="006068A2">
      <w:pPr>
        <w:shd w:val="clear" w:color="auto" w:fill="FFFFFF" w:themeFill="background1"/>
        <w:spacing w:line="360" w:lineRule="auto"/>
        <w:ind w:firstLine="709"/>
        <w:jc w:val="both"/>
        <w:rPr>
          <w:rFonts w:ascii="Arial" w:eastAsia="Arial" w:hAnsi="Arial" w:cs="Arial"/>
          <w:sz w:val="22"/>
          <w:szCs w:val="22"/>
          <w:lang w:val="es-ES"/>
        </w:rPr>
      </w:pPr>
      <w:r w:rsidRPr="006068A2">
        <w:rPr>
          <w:rFonts w:ascii="Arial" w:eastAsia="Arial" w:hAnsi="Arial" w:cs="Arial"/>
          <w:b/>
          <w:bCs/>
          <w:color w:val="0A0A0A"/>
          <w:sz w:val="22"/>
          <w:szCs w:val="22"/>
          <w:lang w:val="es-ES"/>
        </w:rPr>
        <w:t>Patrimonio:</w:t>
      </w:r>
      <w:r w:rsidRPr="006068A2">
        <w:rPr>
          <w:rFonts w:ascii="Arial" w:eastAsia="Arial" w:hAnsi="Arial" w:cs="Arial"/>
          <w:color w:val="0A0A0A"/>
          <w:sz w:val="22"/>
          <w:szCs w:val="22"/>
          <w:lang w:val="es-ES"/>
        </w:rPr>
        <w:t xml:space="preserve"> es el valor residual de los activos una vez deducidos los pasivos, indicando la inversión de los dueños o el capital neto.</w:t>
      </w:r>
    </w:p>
    <w:p w14:paraId="521C4614" w14:textId="77777777" w:rsidR="00F12BBF" w:rsidRPr="006068A2" w:rsidRDefault="00F12BBF" w:rsidP="006068A2">
      <w:pPr>
        <w:shd w:val="clear" w:color="auto" w:fill="FFFFFF" w:themeFill="background1"/>
        <w:spacing w:line="360" w:lineRule="auto"/>
        <w:ind w:firstLine="709"/>
        <w:jc w:val="both"/>
        <w:rPr>
          <w:rFonts w:ascii="Arial" w:eastAsia="Arial" w:hAnsi="Arial" w:cs="Arial"/>
          <w:b/>
          <w:bCs/>
          <w:color w:val="001D35"/>
          <w:sz w:val="22"/>
          <w:szCs w:val="22"/>
          <w:lang w:val="es-ES"/>
        </w:rPr>
      </w:pPr>
    </w:p>
    <w:p w14:paraId="21B947B5" w14:textId="77777777" w:rsidR="00F12BBF" w:rsidRPr="006068A2" w:rsidRDefault="00F12BBF" w:rsidP="006068A2">
      <w:pPr>
        <w:shd w:val="clear" w:color="auto" w:fill="FFFFFF" w:themeFill="background1"/>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 xml:space="preserve">Reserva técnica: </w:t>
      </w:r>
      <w:r w:rsidRPr="006068A2">
        <w:rPr>
          <w:rFonts w:ascii="Arial" w:eastAsia="Arial" w:hAnsi="Arial" w:cs="Arial"/>
          <w:sz w:val="22"/>
          <w:szCs w:val="22"/>
          <w:lang w:val="es-ES"/>
        </w:rPr>
        <w:t>en el sector financiero de la salud es una provisión de dinero exigida a las EPS e IPS para garantizar el pago de servicios médicos ya prestados o autorizados, pero no facturados (ocurridos pero no conocidos)</w:t>
      </w:r>
      <w:r w:rsidRPr="006068A2">
        <w:rPr>
          <w:rFonts w:ascii="Arial" w:eastAsia="Arial" w:hAnsi="Arial" w:cs="Arial"/>
          <w:color w:val="0A0A0A"/>
          <w:sz w:val="22"/>
          <w:szCs w:val="22"/>
          <w:lang w:val="es-ES"/>
        </w:rPr>
        <w:t>.</w:t>
      </w:r>
    </w:p>
    <w:p w14:paraId="5C00A772"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20249F33" w14:textId="77777777" w:rsidR="00F12BBF" w:rsidRPr="006068A2" w:rsidRDefault="00F12BBF" w:rsidP="006068A2">
      <w:pPr>
        <w:spacing w:line="360" w:lineRule="auto"/>
        <w:ind w:firstLine="709"/>
        <w:jc w:val="both"/>
        <w:rPr>
          <w:rFonts w:ascii="Arial" w:eastAsia="Arial" w:hAnsi="Arial" w:cs="Arial"/>
          <w:color w:val="001D35"/>
          <w:sz w:val="22"/>
          <w:szCs w:val="22"/>
          <w:lang w:val="es-ES"/>
        </w:rPr>
      </w:pPr>
      <w:r w:rsidRPr="006068A2">
        <w:rPr>
          <w:rFonts w:ascii="Arial" w:eastAsia="Arial" w:hAnsi="Arial" w:cs="Arial"/>
          <w:b/>
          <w:bCs/>
          <w:sz w:val="22"/>
          <w:szCs w:val="22"/>
          <w:lang w:val="es-ES"/>
        </w:rPr>
        <w:t>Estado Financiero:</w:t>
      </w:r>
      <w:r w:rsidRPr="006068A2">
        <w:rPr>
          <w:rFonts w:ascii="Arial" w:eastAsia="Arial" w:hAnsi="Arial" w:cs="Arial"/>
          <w:sz w:val="22"/>
          <w:szCs w:val="22"/>
          <w:lang w:val="es-ES"/>
        </w:rPr>
        <w:t xml:space="preserve"> en el sector salud es un </w:t>
      </w:r>
      <w:r w:rsidRPr="006068A2">
        <w:rPr>
          <w:rFonts w:ascii="Arial" w:eastAsia="Arial" w:hAnsi="Arial" w:cs="Arial"/>
          <w:color w:val="001D35"/>
          <w:sz w:val="22"/>
          <w:szCs w:val="22"/>
          <w:lang w:val="es-ES"/>
        </w:rPr>
        <w:t>informe contable estructurado que refleja la situación económica, patrimonial y la rentabilidad de una entidad médica (hospital, clínica, IPS) en un periodo específico.</w:t>
      </w:r>
    </w:p>
    <w:p w14:paraId="37FC38C0" w14:textId="77777777" w:rsidR="00F12BBF" w:rsidRPr="006068A2" w:rsidRDefault="00F12BBF" w:rsidP="006068A2">
      <w:pPr>
        <w:spacing w:line="360" w:lineRule="auto"/>
        <w:ind w:firstLine="709"/>
        <w:jc w:val="both"/>
        <w:rPr>
          <w:rFonts w:ascii="Arial" w:eastAsia="Arial" w:hAnsi="Arial" w:cs="Arial"/>
          <w:color w:val="001D35"/>
          <w:sz w:val="22"/>
          <w:szCs w:val="22"/>
          <w:lang w:val="es-ES"/>
        </w:rPr>
      </w:pPr>
    </w:p>
    <w:p w14:paraId="6219F3B1" w14:textId="77777777" w:rsidR="00F12BBF" w:rsidRPr="006068A2" w:rsidRDefault="00F12BBF" w:rsidP="006068A2">
      <w:pPr>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lastRenderedPageBreak/>
        <w:t xml:space="preserve">Capital Mínimo: </w:t>
      </w:r>
      <w:r w:rsidRPr="006068A2">
        <w:rPr>
          <w:rFonts w:ascii="Arial" w:eastAsia="Arial" w:hAnsi="Arial" w:cs="Arial"/>
          <w:sz w:val="22"/>
          <w:szCs w:val="22"/>
          <w:lang w:val="es-ES"/>
        </w:rPr>
        <w:t xml:space="preserve">en el sector salud, según la </w:t>
      </w:r>
      <w:hyperlink r:id="rId44">
        <w:r w:rsidRPr="006068A2">
          <w:rPr>
            <w:rStyle w:val="Hipervnculo"/>
            <w:rFonts w:ascii="Arial" w:eastAsia="Arial" w:hAnsi="Arial" w:cs="Arial"/>
            <w:color w:val="1A0DAB"/>
            <w:sz w:val="22"/>
            <w:szCs w:val="22"/>
            <w:lang w:val="es-ES"/>
          </w:rPr>
          <w:t>Superintendencia Nacional de Salud</w:t>
        </w:r>
      </w:hyperlink>
      <w:r w:rsidRPr="006068A2">
        <w:rPr>
          <w:rFonts w:ascii="Arial" w:eastAsia="Arial" w:hAnsi="Arial" w:cs="Arial"/>
          <w:color w:val="0A0A0A"/>
          <w:sz w:val="22"/>
          <w:szCs w:val="22"/>
          <w:lang w:val="es-ES"/>
        </w:rPr>
        <w:t>, es el monto base de recursos propios que las EPS deben acreditar para operar, garantizando la solvencia y respaldo de sus obligaciones financieras.</w:t>
      </w:r>
    </w:p>
    <w:p w14:paraId="18A6B441"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4E5DEB1E" w14:textId="77777777" w:rsidR="00F12BBF" w:rsidRPr="006068A2" w:rsidRDefault="00F12BBF" w:rsidP="006068A2">
      <w:pPr>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Patrimonio Adecuado:</w:t>
      </w:r>
      <w:r w:rsidRPr="006068A2">
        <w:rPr>
          <w:rFonts w:ascii="Arial" w:eastAsia="Arial" w:hAnsi="Arial" w:cs="Arial"/>
          <w:sz w:val="22"/>
          <w:szCs w:val="22"/>
          <w:lang w:val="es-ES"/>
        </w:rPr>
        <w:t xml:space="preserve"> en el sector financiero de salud es el nivel mínimo de recursos propios que las entidades (como EPS) deben mantener para respaldar sus riesgos, garantizando la solvencia y la prestación de servicios</w:t>
      </w:r>
      <w:r w:rsidRPr="006068A2">
        <w:rPr>
          <w:rFonts w:ascii="Arial" w:eastAsia="Arial" w:hAnsi="Arial" w:cs="Arial"/>
          <w:color w:val="0A0A0A"/>
          <w:sz w:val="22"/>
          <w:szCs w:val="22"/>
          <w:lang w:val="es-ES"/>
        </w:rPr>
        <w:t>.</w:t>
      </w:r>
    </w:p>
    <w:p w14:paraId="0411BF02"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37D972CA" w14:textId="77777777" w:rsidR="00F12BBF" w:rsidRPr="006068A2" w:rsidRDefault="00F12BBF" w:rsidP="006068A2">
      <w:pPr>
        <w:spacing w:line="360" w:lineRule="auto"/>
        <w:ind w:firstLine="709"/>
        <w:jc w:val="both"/>
        <w:rPr>
          <w:rFonts w:ascii="Arial" w:eastAsia="Arial" w:hAnsi="Arial" w:cs="Arial"/>
          <w:color w:val="001D35"/>
          <w:sz w:val="22"/>
          <w:szCs w:val="22"/>
          <w:lang w:val="es-ES"/>
        </w:rPr>
      </w:pPr>
      <w:r w:rsidRPr="006068A2">
        <w:rPr>
          <w:rFonts w:ascii="Arial" w:eastAsia="Arial" w:hAnsi="Arial" w:cs="Arial"/>
          <w:b/>
          <w:bCs/>
          <w:sz w:val="22"/>
          <w:szCs w:val="22"/>
          <w:lang w:val="es-ES"/>
        </w:rPr>
        <w:t xml:space="preserve">Siniestralidad: </w:t>
      </w:r>
      <w:r w:rsidRPr="006068A2">
        <w:rPr>
          <w:rFonts w:ascii="Arial" w:eastAsia="Arial" w:hAnsi="Arial" w:cs="Arial"/>
          <w:sz w:val="22"/>
          <w:szCs w:val="22"/>
          <w:lang w:val="es-ES"/>
        </w:rPr>
        <w:t xml:space="preserve">en el sector financiero de la salud es el </w:t>
      </w:r>
      <w:r w:rsidRPr="006068A2">
        <w:rPr>
          <w:rFonts w:ascii="Arial" w:eastAsia="Arial" w:hAnsi="Arial" w:cs="Arial"/>
          <w:color w:val="001D35"/>
          <w:sz w:val="22"/>
          <w:szCs w:val="22"/>
          <w:lang w:val="es-ES"/>
        </w:rPr>
        <w:t>indicador que mide la relación entre el costo de los servicios médicos prestados (siniestros) y las primas (ingresos) cobradas por la aseguradora o EPS en un periodo determinado.</w:t>
      </w:r>
    </w:p>
    <w:p w14:paraId="2C1578AA" w14:textId="77777777" w:rsidR="00F12BBF" w:rsidRPr="006068A2" w:rsidRDefault="00F12BBF" w:rsidP="006068A2">
      <w:pPr>
        <w:spacing w:line="360" w:lineRule="auto"/>
        <w:ind w:firstLine="709"/>
        <w:jc w:val="both"/>
        <w:rPr>
          <w:rFonts w:ascii="Arial" w:eastAsia="Arial" w:hAnsi="Arial" w:cs="Arial"/>
          <w:color w:val="001D35"/>
          <w:sz w:val="22"/>
          <w:szCs w:val="22"/>
          <w:lang w:val="es-ES"/>
        </w:rPr>
      </w:pPr>
    </w:p>
    <w:p w14:paraId="4EC2DDF6" w14:textId="77777777" w:rsidR="00F12BBF" w:rsidRPr="006068A2" w:rsidRDefault="00F12BBF" w:rsidP="006068A2">
      <w:pPr>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 xml:space="preserve">Razón o Ratio de Endeudamiento: </w:t>
      </w:r>
      <w:r w:rsidRPr="006068A2">
        <w:rPr>
          <w:rFonts w:ascii="Arial" w:eastAsia="Arial" w:hAnsi="Arial" w:cs="Arial"/>
          <w:sz w:val="22"/>
          <w:szCs w:val="22"/>
          <w:lang w:val="es-ES"/>
        </w:rPr>
        <w:t xml:space="preserve">en el sector salud es un </w:t>
      </w:r>
      <w:r w:rsidRPr="006068A2">
        <w:rPr>
          <w:rFonts w:ascii="Arial" w:eastAsia="Arial" w:hAnsi="Arial" w:cs="Arial"/>
          <w:color w:val="001D35"/>
          <w:sz w:val="22"/>
          <w:szCs w:val="22"/>
          <w:lang w:val="es-ES"/>
        </w:rPr>
        <w:t>indicador financiero clave que mide la proporción de la deuda total de una entidad (EPS, IPS, hospital) en relación con sus recursos propios o activos</w:t>
      </w:r>
      <w:r w:rsidRPr="006068A2">
        <w:rPr>
          <w:rFonts w:ascii="Arial" w:eastAsia="Arial" w:hAnsi="Arial" w:cs="Arial"/>
          <w:color w:val="0A0A0A"/>
          <w:sz w:val="22"/>
          <w:szCs w:val="22"/>
          <w:lang w:val="es-ES"/>
        </w:rPr>
        <w:t>.</w:t>
      </w:r>
    </w:p>
    <w:p w14:paraId="24C9F5CB"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72E734E6" w14:textId="77777777" w:rsidR="00F12BBF" w:rsidRPr="006068A2" w:rsidRDefault="00F12BBF" w:rsidP="006068A2">
      <w:pPr>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Mortalidad Materna:</w:t>
      </w:r>
      <w:r w:rsidRPr="006068A2">
        <w:rPr>
          <w:rFonts w:ascii="Arial" w:eastAsia="Arial" w:hAnsi="Arial" w:cs="Arial"/>
          <w:sz w:val="22"/>
          <w:szCs w:val="22"/>
          <w:lang w:val="es-ES"/>
        </w:rPr>
        <w:t xml:space="preserve"> es la </w:t>
      </w:r>
      <w:r w:rsidRPr="006068A2">
        <w:rPr>
          <w:rFonts w:ascii="Arial" w:eastAsia="Arial" w:hAnsi="Arial" w:cs="Arial"/>
          <w:color w:val="001D35"/>
          <w:sz w:val="22"/>
          <w:szCs w:val="22"/>
          <w:lang w:val="es-ES"/>
        </w:rPr>
        <w:t xml:space="preserve">muerte de una mujer durante el embarazo, el parto o dentro de los 42 días posteriores a la terminación del mismo, por causas relacionadas o agravadas por la gestación o su manejo. </w:t>
      </w:r>
      <w:r w:rsidRPr="006068A2">
        <w:rPr>
          <w:rFonts w:ascii="Arial" w:eastAsia="Arial" w:hAnsi="Arial" w:cs="Arial"/>
          <w:color w:val="0A0A0A"/>
          <w:sz w:val="22"/>
          <w:szCs w:val="22"/>
          <w:lang w:val="es-ES"/>
        </w:rPr>
        <w:t>Es un indicador crítico de la calidad de salud y la equidad social.</w:t>
      </w:r>
    </w:p>
    <w:p w14:paraId="2AE558B0"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3B88189A"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r w:rsidRPr="006068A2">
        <w:rPr>
          <w:rFonts w:ascii="Arial" w:eastAsia="Arial" w:hAnsi="Arial" w:cs="Arial"/>
          <w:b/>
          <w:bCs/>
          <w:sz w:val="22"/>
          <w:szCs w:val="22"/>
          <w:lang w:val="es-ES"/>
        </w:rPr>
        <w:t>Mortalidad Infantil:</w:t>
      </w:r>
      <w:r w:rsidRPr="006068A2">
        <w:rPr>
          <w:rFonts w:ascii="Arial" w:eastAsia="Arial" w:hAnsi="Arial" w:cs="Arial"/>
          <w:sz w:val="22"/>
          <w:szCs w:val="22"/>
          <w:lang w:val="es-ES"/>
        </w:rPr>
        <w:t xml:space="preserve"> se refiere a la </w:t>
      </w:r>
      <w:r w:rsidRPr="006068A2">
        <w:rPr>
          <w:rFonts w:ascii="Arial" w:eastAsia="Arial" w:hAnsi="Arial" w:cs="Arial"/>
          <w:color w:val="001D35"/>
          <w:sz w:val="22"/>
          <w:szCs w:val="22"/>
          <w:lang w:val="es-ES"/>
        </w:rPr>
        <w:t>muerte de niños menores de un año</w:t>
      </w:r>
      <w:r w:rsidRPr="006068A2">
        <w:rPr>
          <w:rFonts w:ascii="Arial" w:eastAsia="Arial" w:hAnsi="Arial" w:cs="Arial"/>
          <w:color w:val="0A0A0A"/>
          <w:sz w:val="22"/>
          <w:szCs w:val="22"/>
          <w:lang w:val="es-ES"/>
        </w:rPr>
        <w:t>, siendo un indicador clave de salud pública que mide el bienestar general y el acceso a servicios de salud de una población. Generalmente se calcula como la tasa de defunciones por cada 1.000 nacidos vivos, incluyendo la mortalidad neonatal (primeros 28 días).</w:t>
      </w:r>
    </w:p>
    <w:p w14:paraId="6F249C6A"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6A9191DB" w14:textId="77777777" w:rsidR="00F12BBF" w:rsidRPr="006068A2" w:rsidRDefault="00F12BBF" w:rsidP="006068A2">
      <w:pPr>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Red Prestadora de salud:</w:t>
      </w:r>
      <w:r w:rsidRPr="006068A2">
        <w:rPr>
          <w:rFonts w:ascii="Arial" w:eastAsia="Arial" w:hAnsi="Arial" w:cs="Arial"/>
          <w:sz w:val="22"/>
          <w:szCs w:val="22"/>
          <w:lang w:val="es-ES"/>
        </w:rPr>
        <w:t xml:space="preserve"> es el </w:t>
      </w:r>
      <w:r w:rsidRPr="006068A2">
        <w:rPr>
          <w:rFonts w:ascii="Arial" w:eastAsia="Arial" w:hAnsi="Arial" w:cs="Arial"/>
          <w:color w:val="001D35"/>
          <w:sz w:val="22"/>
          <w:szCs w:val="22"/>
          <w:lang w:val="es-ES"/>
        </w:rPr>
        <w:t>conjunto articulado y organizado de clínicas, hospitales, laboratorios y médicos (IPS) que tienen contrato con una EPS o aseguradora para brindar servicios de salud a sus afiliados</w:t>
      </w:r>
      <w:r w:rsidRPr="006068A2">
        <w:rPr>
          <w:rFonts w:ascii="Arial" w:eastAsia="Arial" w:hAnsi="Arial" w:cs="Arial"/>
          <w:color w:val="0A0A0A"/>
          <w:sz w:val="22"/>
          <w:szCs w:val="22"/>
          <w:lang w:val="es-ES"/>
        </w:rPr>
        <w:t xml:space="preserve">. </w:t>
      </w:r>
      <w:r w:rsidRPr="006068A2">
        <w:rPr>
          <w:rFonts w:ascii="Arial" w:eastAsia="Arial" w:hAnsi="Arial" w:cs="Arial"/>
          <w:sz w:val="22"/>
          <w:szCs w:val="22"/>
          <w:lang w:val="es-ES"/>
        </w:rPr>
        <w:t xml:space="preserve"> </w:t>
      </w:r>
    </w:p>
    <w:p w14:paraId="6D95686E" w14:textId="77777777" w:rsidR="00F12BBF" w:rsidRPr="006068A2" w:rsidRDefault="00F12BBF" w:rsidP="006068A2">
      <w:pPr>
        <w:spacing w:line="360" w:lineRule="auto"/>
        <w:ind w:firstLine="709"/>
        <w:jc w:val="both"/>
        <w:rPr>
          <w:rFonts w:ascii="Arial" w:eastAsia="Arial" w:hAnsi="Arial" w:cs="Arial"/>
          <w:sz w:val="22"/>
          <w:szCs w:val="22"/>
          <w:lang w:val="es-ES"/>
        </w:rPr>
      </w:pPr>
    </w:p>
    <w:p w14:paraId="17D4370E"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r w:rsidRPr="006068A2">
        <w:rPr>
          <w:rFonts w:ascii="Arial" w:eastAsia="Arial" w:hAnsi="Arial" w:cs="Arial"/>
          <w:b/>
          <w:bCs/>
          <w:sz w:val="22"/>
          <w:szCs w:val="22"/>
          <w:lang w:val="es-ES"/>
        </w:rPr>
        <w:t>Capacidad Instalada:</w:t>
      </w:r>
      <w:r w:rsidRPr="006068A2">
        <w:rPr>
          <w:rFonts w:ascii="Arial" w:eastAsia="Arial" w:hAnsi="Arial" w:cs="Arial"/>
          <w:sz w:val="22"/>
          <w:szCs w:val="22"/>
          <w:lang w:val="es-ES"/>
        </w:rPr>
        <w:t xml:space="preserve"> en salud es el </w:t>
      </w:r>
      <w:r w:rsidRPr="006068A2">
        <w:rPr>
          <w:rFonts w:ascii="Arial" w:eastAsia="Arial" w:hAnsi="Arial" w:cs="Arial"/>
          <w:color w:val="001D35"/>
          <w:sz w:val="22"/>
          <w:szCs w:val="22"/>
          <w:lang w:val="es-ES"/>
        </w:rPr>
        <w:t xml:space="preserve">conjunto de recursos físicos, humanos, técnicos y administrativos habilitados en una IPS (Institución Prestadora de Servicios) para </w:t>
      </w:r>
      <w:r w:rsidRPr="006068A2">
        <w:rPr>
          <w:rFonts w:ascii="Arial" w:eastAsia="Arial" w:hAnsi="Arial" w:cs="Arial"/>
          <w:color w:val="001D35"/>
          <w:sz w:val="22"/>
          <w:szCs w:val="22"/>
          <w:lang w:val="es-ES"/>
        </w:rPr>
        <w:lastRenderedPageBreak/>
        <w:t>brindar atención médica</w:t>
      </w:r>
      <w:r w:rsidRPr="006068A2">
        <w:rPr>
          <w:rFonts w:ascii="Arial" w:eastAsia="Arial" w:hAnsi="Arial" w:cs="Arial"/>
          <w:color w:val="0A0A0A"/>
          <w:sz w:val="22"/>
          <w:szCs w:val="22"/>
          <w:lang w:val="es-ES"/>
        </w:rPr>
        <w:t>. Define el volumen máximo de servicios —camas, consultas, cirugías— que una institución puede ofrecer en un tiempo determinado.</w:t>
      </w:r>
    </w:p>
    <w:p w14:paraId="4350C790"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0D04B0FD" w14:textId="77777777" w:rsidR="00F12BBF" w:rsidRPr="006068A2" w:rsidRDefault="00F12BBF" w:rsidP="006068A2">
      <w:pPr>
        <w:spacing w:line="360" w:lineRule="auto"/>
        <w:ind w:firstLine="709"/>
        <w:jc w:val="both"/>
        <w:rPr>
          <w:rFonts w:ascii="Arial" w:eastAsia="Arial" w:hAnsi="Arial" w:cs="Arial"/>
          <w:sz w:val="22"/>
          <w:szCs w:val="22"/>
          <w:lang w:val="es-ES"/>
        </w:rPr>
      </w:pPr>
      <w:r w:rsidRPr="006068A2">
        <w:rPr>
          <w:rFonts w:ascii="Arial" w:eastAsia="Arial" w:hAnsi="Arial" w:cs="Arial"/>
          <w:b/>
          <w:bCs/>
          <w:sz w:val="22"/>
          <w:szCs w:val="22"/>
          <w:lang w:val="es-ES"/>
        </w:rPr>
        <w:t>Suficiencia de Red en Salud:</w:t>
      </w:r>
      <w:r w:rsidRPr="006068A2">
        <w:rPr>
          <w:rFonts w:ascii="Arial" w:eastAsia="Arial" w:hAnsi="Arial" w:cs="Arial"/>
          <w:sz w:val="22"/>
          <w:szCs w:val="22"/>
          <w:lang w:val="es-ES"/>
        </w:rPr>
        <w:t xml:space="preserve"> es la </w:t>
      </w:r>
      <w:r w:rsidRPr="006068A2">
        <w:rPr>
          <w:rFonts w:ascii="Arial" w:eastAsia="Arial" w:hAnsi="Arial" w:cs="Arial"/>
          <w:color w:val="001D35"/>
          <w:sz w:val="22"/>
          <w:szCs w:val="22"/>
          <w:lang w:val="es-ES"/>
        </w:rPr>
        <w:t>capacidad instalada —infraestructura, talento humano, equipos y recursos financieros— que garantiza la prestación oportuna, integral y accesible de servicios médicos a la población adscrita</w:t>
      </w:r>
      <w:r w:rsidRPr="006068A2">
        <w:rPr>
          <w:rFonts w:ascii="Arial" w:eastAsia="Arial" w:hAnsi="Arial" w:cs="Arial"/>
          <w:color w:val="0A0A0A"/>
          <w:sz w:val="22"/>
          <w:szCs w:val="22"/>
          <w:lang w:val="es-ES"/>
        </w:rPr>
        <w:t>. Mide el equilibrio entre la oferta de servicios y la demanda real para evitar barreras de acceso.</w:t>
      </w:r>
    </w:p>
    <w:p w14:paraId="08068CF1" w14:textId="77777777" w:rsidR="00F12BBF" w:rsidRPr="006068A2" w:rsidRDefault="00F12BBF" w:rsidP="006068A2">
      <w:pPr>
        <w:spacing w:line="360" w:lineRule="auto"/>
        <w:ind w:firstLine="709"/>
        <w:jc w:val="both"/>
        <w:rPr>
          <w:rFonts w:ascii="Arial" w:eastAsia="Arial" w:hAnsi="Arial" w:cs="Arial"/>
          <w:color w:val="0A0A0A"/>
          <w:sz w:val="22"/>
          <w:szCs w:val="22"/>
          <w:lang w:val="es-ES"/>
        </w:rPr>
      </w:pPr>
    </w:p>
    <w:p w14:paraId="7E59A169" w14:textId="7D7895B0" w:rsidR="00F12BBF" w:rsidRDefault="00F12BBF" w:rsidP="006068A2">
      <w:pPr>
        <w:spacing w:line="360" w:lineRule="auto"/>
        <w:ind w:firstLine="709"/>
        <w:jc w:val="both"/>
        <w:rPr>
          <w:rFonts w:ascii="Arial" w:eastAsia="Arial" w:hAnsi="Arial" w:cs="Arial"/>
          <w:color w:val="0A0A0A"/>
          <w:sz w:val="22"/>
          <w:szCs w:val="22"/>
          <w:lang w:val="es-ES"/>
        </w:rPr>
      </w:pPr>
      <w:r w:rsidRPr="006068A2">
        <w:rPr>
          <w:rFonts w:ascii="Arial" w:eastAsia="Arial" w:hAnsi="Arial" w:cs="Arial"/>
          <w:b/>
          <w:bCs/>
          <w:sz w:val="22"/>
          <w:szCs w:val="22"/>
          <w:lang w:val="es-ES"/>
        </w:rPr>
        <w:t>Dispensación de Medicamentos:</w:t>
      </w:r>
      <w:r w:rsidRPr="006068A2">
        <w:rPr>
          <w:rFonts w:ascii="Arial" w:eastAsia="Arial" w:hAnsi="Arial" w:cs="Arial"/>
          <w:sz w:val="22"/>
          <w:szCs w:val="22"/>
          <w:lang w:val="es-ES"/>
        </w:rPr>
        <w:t xml:space="preserve"> es el </w:t>
      </w:r>
      <w:r w:rsidRPr="006068A2">
        <w:rPr>
          <w:rFonts w:ascii="Arial" w:eastAsia="Arial" w:hAnsi="Arial" w:cs="Arial"/>
          <w:color w:val="001D35"/>
          <w:sz w:val="22"/>
          <w:szCs w:val="22"/>
          <w:lang w:val="es-ES"/>
        </w:rPr>
        <w:t>acto profesional farmacéutico de entregar uno o más medicamentos a un paciente, generalmente bajo receta médica</w:t>
      </w:r>
      <w:r w:rsidRPr="006068A2">
        <w:rPr>
          <w:rFonts w:ascii="Arial" w:eastAsia="Arial" w:hAnsi="Arial" w:cs="Arial"/>
          <w:color w:val="0A0A0A"/>
          <w:sz w:val="22"/>
          <w:szCs w:val="22"/>
          <w:lang w:val="es-ES"/>
        </w:rPr>
        <w:t>, que incluye la interpretación de la orden, verificación de idoneidad, preparación, etiquetado y, crucialmente, la asesoría sobre su uso correcto, dosis, interacciones y conservación</w:t>
      </w:r>
      <w:r w:rsidR="00A22098">
        <w:rPr>
          <w:rFonts w:ascii="Arial" w:eastAsia="Arial" w:hAnsi="Arial" w:cs="Arial"/>
          <w:color w:val="0A0A0A"/>
          <w:sz w:val="22"/>
          <w:szCs w:val="22"/>
          <w:lang w:val="es-ES"/>
        </w:rPr>
        <w:t>.</w:t>
      </w:r>
    </w:p>
    <w:p w14:paraId="0456DEF3" w14:textId="77777777" w:rsidR="00A22098" w:rsidRDefault="00A22098" w:rsidP="00A22098">
      <w:pPr>
        <w:spacing w:line="360" w:lineRule="auto"/>
        <w:jc w:val="both"/>
        <w:rPr>
          <w:rFonts w:ascii="Arial" w:eastAsia="Arial" w:hAnsi="Arial" w:cs="Arial"/>
          <w:color w:val="0A0A0A"/>
          <w:sz w:val="22"/>
          <w:szCs w:val="22"/>
          <w:lang w:val="es-ES"/>
        </w:rPr>
      </w:pPr>
    </w:p>
    <w:p w14:paraId="5FFC854C" w14:textId="278E5984" w:rsidR="00A22098" w:rsidRPr="0088735C" w:rsidRDefault="00A22098" w:rsidP="00A50C92">
      <w:pPr>
        <w:pStyle w:val="Ttulo1"/>
        <w:numPr>
          <w:ilvl w:val="0"/>
          <w:numId w:val="25"/>
        </w:numPr>
        <w:spacing w:before="0" w:line="360" w:lineRule="auto"/>
        <w:jc w:val="both"/>
        <w:rPr>
          <w:rFonts w:ascii="Arial" w:hAnsi="Arial" w:cs="Arial"/>
          <w:b/>
          <w:bCs/>
          <w:color w:val="auto"/>
          <w:sz w:val="22"/>
          <w:szCs w:val="22"/>
        </w:rPr>
      </w:pPr>
      <w:bookmarkStart w:id="80" w:name="_Toc229397867"/>
      <w:r w:rsidRPr="0088735C">
        <w:rPr>
          <w:rFonts w:ascii="Arial" w:hAnsi="Arial" w:cs="Arial"/>
          <w:b/>
          <w:bCs/>
          <w:color w:val="auto"/>
          <w:sz w:val="22"/>
          <w:szCs w:val="22"/>
        </w:rPr>
        <w:t>REFERENCIA</w:t>
      </w:r>
      <w:r w:rsidRPr="0088735C">
        <w:rPr>
          <w:rFonts w:ascii="Arial" w:hAnsi="Arial" w:cs="Arial"/>
          <w:b/>
          <w:bCs/>
          <w:color w:val="auto"/>
          <w:sz w:val="22"/>
          <w:szCs w:val="22"/>
        </w:rPr>
        <w:t>S</w:t>
      </w:r>
      <w:r w:rsidRPr="0088735C">
        <w:rPr>
          <w:rFonts w:ascii="Arial" w:hAnsi="Arial" w:cs="Arial"/>
          <w:b/>
          <w:bCs/>
          <w:color w:val="auto"/>
          <w:sz w:val="22"/>
          <w:szCs w:val="22"/>
        </w:rPr>
        <w:t xml:space="preserve"> BIBLIOGRÁFICAS</w:t>
      </w:r>
      <w:bookmarkEnd w:id="80"/>
    </w:p>
    <w:p w14:paraId="130DBC57" w14:textId="77777777" w:rsidR="00A22098" w:rsidRDefault="00A22098" w:rsidP="00A22098">
      <w:pPr>
        <w:spacing w:line="360" w:lineRule="auto"/>
        <w:jc w:val="both"/>
        <w:rPr>
          <w:rFonts w:ascii="Arial" w:eastAsia="Arial" w:hAnsi="Arial" w:cs="Arial"/>
          <w:color w:val="0A0A0A"/>
          <w:sz w:val="22"/>
          <w:szCs w:val="22"/>
          <w:lang w:val="es-ES"/>
        </w:rPr>
      </w:pPr>
    </w:p>
    <w:p w14:paraId="0C2C237A"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Administradora de los Recursos del Sistema General de Seguridad Social en Salud (ADRES). (s. f.). </w:t>
      </w:r>
      <w:r w:rsidRPr="00A22098">
        <w:rPr>
          <w:rFonts w:ascii="Arial" w:eastAsia="Arial" w:hAnsi="Arial" w:cs="Arial"/>
          <w:i/>
          <w:iCs/>
          <w:color w:val="0A0A0A"/>
          <w:sz w:val="22"/>
          <w:szCs w:val="22"/>
        </w:rPr>
        <w:t>Base de Datos Única de Afiliados (BDUA): Consulta de afiliados</w:t>
      </w:r>
      <w:r w:rsidRPr="00A22098">
        <w:rPr>
          <w:rFonts w:ascii="Arial" w:eastAsia="Arial" w:hAnsi="Arial" w:cs="Arial"/>
          <w:color w:val="0A0A0A"/>
          <w:sz w:val="22"/>
          <w:szCs w:val="22"/>
        </w:rPr>
        <w:t xml:space="preserve">. Recuperado el 20 de febrero de 2026, de </w:t>
      </w:r>
      <w:hyperlink r:id="rId45" w:tgtFrame="_new" w:history="1">
        <w:r w:rsidRPr="00A22098">
          <w:rPr>
            <w:rStyle w:val="Hipervnculo"/>
            <w:rFonts w:ascii="Arial" w:eastAsia="Arial" w:hAnsi="Arial" w:cs="Arial"/>
            <w:sz w:val="22"/>
            <w:szCs w:val="22"/>
          </w:rPr>
          <w:t>https://servicios.adres.gov.co/BDUA/Consulta-Afiliados-BDUA</w:t>
        </w:r>
      </w:hyperlink>
      <w:r w:rsidRPr="00A22098">
        <w:rPr>
          <w:rFonts w:ascii="Arial" w:eastAsia="Arial" w:hAnsi="Arial" w:cs="Arial"/>
          <w:color w:val="0A0A0A"/>
          <w:sz w:val="22"/>
          <w:szCs w:val="22"/>
        </w:rPr>
        <w:t xml:space="preserve"> </w:t>
      </w:r>
    </w:p>
    <w:p w14:paraId="1459ACA8"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(1993, 23 de diciembre). </w:t>
      </w:r>
      <w:r w:rsidRPr="00A22098">
        <w:rPr>
          <w:rFonts w:ascii="Arial" w:eastAsia="Arial" w:hAnsi="Arial" w:cs="Arial"/>
          <w:i/>
          <w:iCs/>
          <w:color w:val="0A0A0A"/>
          <w:sz w:val="22"/>
          <w:szCs w:val="22"/>
        </w:rPr>
        <w:t>Ley 100 de 1993: Por la cual se crea el Sistema de Seguridad Social Integral y se dictan otras disposiciones</w:t>
      </w:r>
      <w:r w:rsidRPr="00A22098">
        <w:rPr>
          <w:rFonts w:ascii="Arial" w:eastAsia="Arial" w:hAnsi="Arial" w:cs="Arial"/>
          <w:color w:val="0A0A0A"/>
          <w:sz w:val="22"/>
          <w:szCs w:val="22"/>
        </w:rPr>
        <w:t xml:space="preserve">. </w:t>
      </w:r>
      <w:hyperlink r:id="rId46" w:tgtFrame="_new" w:history="1">
        <w:r w:rsidRPr="00A22098">
          <w:rPr>
            <w:rStyle w:val="Hipervnculo"/>
            <w:rFonts w:ascii="Arial" w:eastAsia="Arial" w:hAnsi="Arial" w:cs="Arial"/>
            <w:sz w:val="22"/>
            <w:szCs w:val="22"/>
          </w:rPr>
          <w:t>https://www.secretariasenado.gov.co/senado/basedoc/ley_0100_1993.html</w:t>
        </w:r>
      </w:hyperlink>
      <w:r w:rsidRPr="00A22098">
        <w:rPr>
          <w:rFonts w:ascii="Arial" w:eastAsia="Arial" w:hAnsi="Arial" w:cs="Arial"/>
          <w:color w:val="0A0A0A"/>
          <w:sz w:val="22"/>
          <w:szCs w:val="22"/>
        </w:rPr>
        <w:t xml:space="preserve"> </w:t>
      </w:r>
    </w:p>
    <w:p w14:paraId="4F415863"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(2001, 21 de diciembre). </w:t>
      </w:r>
      <w:r w:rsidRPr="00A22098">
        <w:rPr>
          <w:rFonts w:ascii="Arial" w:eastAsia="Arial" w:hAnsi="Arial" w:cs="Arial"/>
          <w:i/>
          <w:iCs/>
          <w:color w:val="0A0A0A"/>
          <w:sz w:val="22"/>
          <w:szCs w:val="22"/>
        </w:rPr>
        <w:t>Ley 715 de 2001: Por la cual se dictan normas orgánicas en materia de recursos y competencias</w:t>
      </w:r>
      <w:r w:rsidRPr="00A22098">
        <w:rPr>
          <w:rFonts w:ascii="Arial" w:eastAsia="Arial" w:hAnsi="Arial" w:cs="Arial"/>
          <w:color w:val="0A0A0A"/>
          <w:sz w:val="22"/>
          <w:szCs w:val="22"/>
        </w:rPr>
        <w:t xml:space="preserve">. </w:t>
      </w:r>
      <w:hyperlink r:id="rId47" w:tgtFrame="_new" w:history="1">
        <w:r w:rsidRPr="00A22098">
          <w:rPr>
            <w:rStyle w:val="Hipervnculo"/>
            <w:rFonts w:ascii="Arial" w:eastAsia="Arial" w:hAnsi="Arial" w:cs="Arial"/>
            <w:sz w:val="22"/>
            <w:szCs w:val="22"/>
          </w:rPr>
          <w:t>https://www.secretariasenado.gov.co/senado/basedoc/ley_0715_2001.html</w:t>
        </w:r>
      </w:hyperlink>
      <w:r w:rsidRPr="00A22098">
        <w:rPr>
          <w:rFonts w:ascii="Arial" w:eastAsia="Arial" w:hAnsi="Arial" w:cs="Arial"/>
          <w:color w:val="0A0A0A"/>
          <w:sz w:val="22"/>
          <w:szCs w:val="22"/>
        </w:rPr>
        <w:t xml:space="preserve"> </w:t>
      </w:r>
    </w:p>
    <w:p w14:paraId="18E8A004"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(2007, 9 de enero). </w:t>
      </w:r>
      <w:r w:rsidRPr="00A22098">
        <w:rPr>
          <w:rFonts w:ascii="Arial" w:eastAsia="Arial" w:hAnsi="Arial" w:cs="Arial"/>
          <w:i/>
          <w:iCs/>
          <w:color w:val="0A0A0A"/>
          <w:sz w:val="22"/>
          <w:szCs w:val="22"/>
        </w:rPr>
        <w:t>Ley 1122 de 2007: Por la cual se hacen algunas modificaciones en el Sistema General de Seguridad Social en Salud y se dictan otras disposiciones</w:t>
      </w:r>
      <w:r w:rsidRPr="00A22098">
        <w:rPr>
          <w:rFonts w:ascii="Arial" w:eastAsia="Arial" w:hAnsi="Arial" w:cs="Arial"/>
          <w:color w:val="0A0A0A"/>
          <w:sz w:val="22"/>
          <w:szCs w:val="22"/>
        </w:rPr>
        <w:t xml:space="preserve">. </w:t>
      </w:r>
      <w:hyperlink r:id="rId48" w:tgtFrame="_new" w:history="1">
        <w:r w:rsidRPr="00A22098">
          <w:rPr>
            <w:rStyle w:val="Hipervnculo"/>
            <w:rFonts w:ascii="Arial" w:eastAsia="Arial" w:hAnsi="Arial" w:cs="Arial"/>
            <w:sz w:val="22"/>
            <w:szCs w:val="22"/>
          </w:rPr>
          <w:t>https://www.secretariasenado.gov.co/senado/basedoc/ley_1122_2007.html</w:t>
        </w:r>
      </w:hyperlink>
      <w:r w:rsidRPr="00A22098">
        <w:rPr>
          <w:rFonts w:ascii="Arial" w:eastAsia="Arial" w:hAnsi="Arial" w:cs="Arial"/>
          <w:color w:val="0A0A0A"/>
          <w:sz w:val="22"/>
          <w:szCs w:val="22"/>
        </w:rPr>
        <w:t xml:space="preserve"> </w:t>
      </w:r>
    </w:p>
    <w:p w14:paraId="2F4F68F6"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(2011, 18 de enero). </w:t>
      </w:r>
      <w:r w:rsidRPr="00A22098">
        <w:rPr>
          <w:rFonts w:ascii="Arial" w:eastAsia="Arial" w:hAnsi="Arial" w:cs="Arial"/>
          <w:i/>
          <w:iCs/>
          <w:color w:val="0A0A0A"/>
          <w:sz w:val="22"/>
          <w:szCs w:val="22"/>
        </w:rPr>
        <w:t>Ley 1437 de 2011: Por la cual se expide el Código de Procedimiento Administrativo y de lo Contencioso Administrativo</w:t>
      </w:r>
      <w:r w:rsidRPr="00A22098">
        <w:rPr>
          <w:rFonts w:ascii="Arial" w:eastAsia="Arial" w:hAnsi="Arial" w:cs="Arial"/>
          <w:color w:val="0A0A0A"/>
          <w:sz w:val="22"/>
          <w:szCs w:val="22"/>
        </w:rPr>
        <w:t xml:space="preserve">. </w:t>
      </w:r>
      <w:hyperlink r:id="rId49" w:tgtFrame="_new" w:history="1">
        <w:r w:rsidRPr="00A22098">
          <w:rPr>
            <w:rStyle w:val="Hipervnculo"/>
            <w:rFonts w:ascii="Arial" w:eastAsia="Arial" w:hAnsi="Arial" w:cs="Arial"/>
            <w:sz w:val="22"/>
            <w:szCs w:val="22"/>
          </w:rPr>
          <w:t>https://www.alcaldiabogota.gov.co/sisjur/normas/Norma1.jsp?i=41249</w:t>
        </w:r>
      </w:hyperlink>
      <w:r w:rsidRPr="00A22098">
        <w:rPr>
          <w:rFonts w:ascii="Arial" w:eastAsia="Arial" w:hAnsi="Arial" w:cs="Arial"/>
          <w:color w:val="0A0A0A"/>
          <w:sz w:val="22"/>
          <w:szCs w:val="22"/>
        </w:rPr>
        <w:t xml:space="preserve"> </w:t>
      </w:r>
    </w:p>
    <w:p w14:paraId="147A5EFD"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lastRenderedPageBreak/>
        <w:t xml:space="preserve">Congreso de la República de Colombia. (2011, 19 de enero). </w:t>
      </w:r>
      <w:r w:rsidRPr="00A22098">
        <w:rPr>
          <w:rFonts w:ascii="Arial" w:eastAsia="Arial" w:hAnsi="Arial" w:cs="Arial"/>
          <w:i/>
          <w:iCs/>
          <w:color w:val="0A0A0A"/>
          <w:sz w:val="22"/>
          <w:szCs w:val="22"/>
        </w:rPr>
        <w:t>Ley 1438 de 2011: Por medio de la cual se reforma el Sistema General de Seguridad Social en Salud y se dictan otras disposiciones</w:t>
      </w:r>
      <w:r w:rsidRPr="00A22098">
        <w:rPr>
          <w:rFonts w:ascii="Arial" w:eastAsia="Arial" w:hAnsi="Arial" w:cs="Arial"/>
          <w:color w:val="0A0A0A"/>
          <w:sz w:val="22"/>
          <w:szCs w:val="22"/>
        </w:rPr>
        <w:t xml:space="preserve">. </w:t>
      </w:r>
      <w:hyperlink r:id="rId50" w:tgtFrame="_new" w:history="1">
        <w:r w:rsidRPr="00A22098">
          <w:rPr>
            <w:rStyle w:val="Hipervnculo"/>
            <w:rFonts w:ascii="Arial" w:eastAsia="Arial" w:hAnsi="Arial" w:cs="Arial"/>
            <w:sz w:val="22"/>
            <w:szCs w:val="22"/>
          </w:rPr>
          <w:t>https://www.secretariasenado.gov.co/senado/basedoc/ley_1438_2011.html</w:t>
        </w:r>
      </w:hyperlink>
      <w:r w:rsidRPr="00A22098">
        <w:rPr>
          <w:rFonts w:ascii="Arial" w:eastAsia="Arial" w:hAnsi="Arial" w:cs="Arial"/>
          <w:color w:val="0A0A0A"/>
          <w:sz w:val="22"/>
          <w:szCs w:val="22"/>
        </w:rPr>
        <w:t xml:space="preserve"> </w:t>
      </w:r>
    </w:p>
    <w:p w14:paraId="359ADD89"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(2015, 16 de febrero). </w:t>
      </w:r>
      <w:r w:rsidRPr="00A22098">
        <w:rPr>
          <w:rFonts w:ascii="Arial" w:eastAsia="Arial" w:hAnsi="Arial" w:cs="Arial"/>
          <w:i/>
          <w:iCs/>
          <w:color w:val="0A0A0A"/>
          <w:sz w:val="22"/>
          <w:szCs w:val="22"/>
        </w:rPr>
        <w:t>Ley Estatutaria 1751 de 2015: Por medio de la cual se regula el derecho fundamental a la salud y se dictan otras disposiciones</w:t>
      </w:r>
      <w:r w:rsidRPr="00A22098">
        <w:rPr>
          <w:rFonts w:ascii="Arial" w:eastAsia="Arial" w:hAnsi="Arial" w:cs="Arial"/>
          <w:color w:val="0A0A0A"/>
          <w:sz w:val="22"/>
          <w:szCs w:val="22"/>
        </w:rPr>
        <w:t xml:space="preserve">. </w:t>
      </w:r>
      <w:hyperlink r:id="rId51" w:tgtFrame="_new" w:history="1">
        <w:r w:rsidRPr="00A22098">
          <w:rPr>
            <w:rStyle w:val="Hipervnculo"/>
            <w:rFonts w:ascii="Arial" w:eastAsia="Arial" w:hAnsi="Arial" w:cs="Arial"/>
            <w:sz w:val="22"/>
            <w:szCs w:val="22"/>
          </w:rPr>
          <w:t>https://www.secretariasenado.gov.co/senado/basedoc/ley_1751_2015.html</w:t>
        </w:r>
      </w:hyperlink>
      <w:r w:rsidRPr="00A22098">
        <w:rPr>
          <w:rFonts w:ascii="Arial" w:eastAsia="Arial" w:hAnsi="Arial" w:cs="Arial"/>
          <w:color w:val="0A0A0A"/>
          <w:sz w:val="22"/>
          <w:szCs w:val="22"/>
        </w:rPr>
        <w:t xml:space="preserve"> </w:t>
      </w:r>
    </w:p>
    <w:p w14:paraId="1131B181"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Congreso de la República de Colombia. (2015, 30 de junio). </w:t>
      </w:r>
      <w:r w:rsidRPr="00A22098">
        <w:rPr>
          <w:rFonts w:ascii="Arial" w:eastAsia="Arial" w:hAnsi="Arial" w:cs="Arial"/>
          <w:i/>
          <w:iCs/>
          <w:color w:val="0A0A0A"/>
          <w:sz w:val="22"/>
          <w:szCs w:val="22"/>
        </w:rPr>
        <w:t>Ley 1755 de 2015: Por medio de la cual se regula el derecho fundamental de petición y se sustituye un título del Código de Procedimiento Administrativo y de lo Contencioso Administrativo</w:t>
      </w:r>
      <w:r w:rsidRPr="00A22098">
        <w:rPr>
          <w:rFonts w:ascii="Arial" w:eastAsia="Arial" w:hAnsi="Arial" w:cs="Arial"/>
          <w:color w:val="0A0A0A"/>
          <w:sz w:val="22"/>
          <w:szCs w:val="22"/>
        </w:rPr>
        <w:t xml:space="preserve">. </w:t>
      </w:r>
      <w:hyperlink r:id="rId52" w:tgtFrame="_new" w:history="1">
        <w:r w:rsidRPr="00A22098">
          <w:rPr>
            <w:rStyle w:val="Hipervnculo"/>
            <w:rFonts w:ascii="Arial" w:eastAsia="Arial" w:hAnsi="Arial" w:cs="Arial"/>
            <w:sz w:val="22"/>
            <w:szCs w:val="22"/>
          </w:rPr>
          <w:t>https://www.alcaldiabogota.gov.co/sisjur/normas/Norma1.jsp?i=62152</w:t>
        </w:r>
      </w:hyperlink>
      <w:r w:rsidRPr="00A22098">
        <w:rPr>
          <w:rFonts w:ascii="Arial" w:eastAsia="Arial" w:hAnsi="Arial" w:cs="Arial"/>
          <w:color w:val="0A0A0A"/>
          <w:sz w:val="22"/>
          <w:szCs w:val="22"/>
        </w:rPr>
        <w:t xml:space="preserve"> </w:t>
      </w:r>
    </w:p>
    <w:p w14:paraId="3A736872"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Departamento Administrativo Nacional de Estadística (DANE). (s. f.). </w:t>
      </w:r>
      <w:r w:rsidRPr="00A22098">
        <w:rPr>
          <w:rFonts w:ascii="Arial" w:eastAsia="Arial" w:hAnsi="Arial" w:cs="Arial"/>
          <w:i/>
          <w:iCs/>
          <w:color w:val="0A0A0A"/>
          <w:sz w:val="22"/>
          <w:szCs w:val="22"/>
        </w:rPr>
        <w:t>Proyecciones de población: Actualización post COVID-19 (CNPV 2018)</w:t>
      </w:r>
      <w:r w:rsidRPr="00A22098">
        <w:rPr>
          <w:rFonts w:ascii="Arial" w:eastAsia="Arial" w:hAnsi="Arial" w:cs="Arial"/>
          <w:color w:val="0A0A0A"/>
          <w:sz w:val="22"/>
          <w:szCs w:val="22"/>
        </w:rPr>
        <w:t xml:space="preserve">. Recuperado el 20 de febrero de 2026, de </w:t>
      </w:r>
      <w:hyperlink r:id="rId53" w:tgtFrame="_new" w:history="1">
        <w:r w:rsidRPr="00A22098">
          <w:rPr>
            <w:rStyle w:val="Hipervnculo"/>
            <w:rFonts w:ascii="Arial" w:eastAsia="Arial" w:hAnsi="Arial" w:cs="Arial"/>
            <w:sz w:val="22"/>
            <w:szCs w:val="22"/>
          </w:rPr>
          <w:t>https://www.dane.gov.co/index.php/estadisticas-por-tema/demografia-y-poblacion/proyecciones-de-poblacion</w:t>
        </w:r>
      </w:hyperlink>
      <w:r w:rsidRPr="00A22098">
        <w:rPr>
          <w:rFonts w:ascii="Arial" w:eastAsia="Arial" w:hAnsi="Arial" w:cs="Arial"/>
          <w:color w:val="0A0A0A"/>
          <w:sz w:val="22"/>
          <w:szCs w:val="22"/>
        </w:rPr>
        <w:t xml:space="preserve"> </w:t>
      </w:r>
    </w:p>
    <w:p w14:paraId="787ABB4C"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Ministerio de Salud y Protección Social. (2018, 2 de agosto). </w:t>
      </w:r>
      <w:r w:rsidRPr="00A22098">
        <w:rPr>
          <w:rFonts w:ascii="Arial" w:eastAsia="Arial" w:hAnsi="Arial" w:cs="Arial"/>
          <w:i/>
          <w:iCs/>
          <w:color w:val="0A0A0A"/>
          <w:sz w:val="22"/>
          <w:szCs w:val="22"/>
        </w:rPr>
        <w:t>Resolución 3280 de 2018: Por la cual se adoptan los lineamientos técnicos y operativos de la Ruta Integral de Atención para la Promoción y Mantenimiento de la Salud y la Ruta Integral de Atención en Salud para la Población Materno Perinatal, y se dictan otras disposiciones</w:t>
      </w:r>
      <w:r w:rsidRPr="00A22098">
        <w:rPr>
          <w:rFonts w:ascii="Arial" w:eastAsia="Arial" w:hAnsi="Arial" w:cs="Arial"/>
          <w:color w:val="0A0A0A"/>
          <w:sz w:val="22"/>
          <w:szCs w:val="22"/>
        </w:rPr>
        <w:t xml:space="preserve">. </w:t>
      </w:r>
      <w:hyperlink r:id="rId54" w:tgtFrame="_new" w:history="1">
        <w:r w:rsidRPr="00A22098">
          <w:rPr>
            <w:rStyle w:val="Hipervnculo"/>
            <w:rFonts w:ascii="Arial" w:eastAsia="Arial" w:hAnsi="Arial" w:cs="Arial"/>
            <w:sz w:val="22"/>
            <w:szCs w:val="22"/>
          </w:rPr>
          <w:t>https://www.minsalud.gov.co/sites/rid/lists/bibliotecadigital/ride/de/dij/resolucion-3280-de-2018.pdf</w:t>
        </w:r>
      </w:hyperlink>
      <w:r w:rsidRPr="00A22098">
        <w:rPr>
          <w:rFonts w:ascii="Arial" w:eastAsia="Arial" w:hAnsi="Arial" w:cs="Arial"/>
          <w:color w:val="0A0A0A"/>
          <w:sz w:val="22"/>
          <w:szCs w:val="22"/>
        </w:rPr>
        <w:t xml:space="preserve"> </w:t>
      </w:r>
    </w:p>
    <w:p w14:paraId="1770434E"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Ministerio de Salud y Protección Social. (s. f.). </w:t>
      </w:r>
      <w:r w:rsidRPr="00A22098">
        <w:rPr>
          <w:rFonts w:ascii="Arial" w:eastAsia="Arial" w:hAnsi="Arial" w:cs="Arial"/>
          <w:i/>
          <w:iCs/>
          <w:color w:val="0A0A0A"/>
          <w:sz w:val="22"/>
          <w:szCs w:val="22"/>
        </w:rPr>
        <w:t>Cifras de afiliación en salud</w:t>
      </w:r>
      <w:r w:rsidRPr="00A22098">
        <w:rPr>
          <w:rFonts w:ascii="Arial" w:eastAsia="Arial" w:hAnsi="Arial" w:cs="Arial"/>
          <w:color w:val="0A0A0A"/>
          <w:sz w:val="22"/>
          <w:szCs w:val="22"/>
        </w:rPr>
        <w:t xml:space="preserve">. Recuperado el 6 de mayo de 2026, de </w:t>
      </w:r>
      <w:hyperlink r:id="rId55" w:tgtFrame="_new" w:history="1">
        <w:r w:rsidRPr="00A22098">
          <w:rPr>
            <w:rStyle w:val="Hipervnculo"/>
            <w:rFonts w:ascii="Arial" w:eastAsia="Arial" w:hAnsi="Arial" w:cs="Arial"/>
            <w:sz w:val="22"/>
            <w:szCs w:val="22"/>
          </w:rPr>
          <w:t>https://www.minsalud.gov.co/proteccionsocial/paginas/cifras-aseguramiento-salud.aspx</w:t>
        </w:r>
      </w:hyperlink>
      <w:r w:rsidRPr="00A22098">
        <w:rPr>
          <w:rFonts w:ascii="Arial" w:eastAsia="Arial" w:hAnsi="Arial" w:cs="Arial"/>
          <w:color w:val="0A0A0A"/>
          <w:sz w:val="22"/>
          <w:szCs w:val="22"/>
        </w:rPr>
        <w:t xml:space="preserve"> </w:t>
      </w:r>
    </w:p>
    <w:p w14:paraId="48D2C201"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Ministerio de Salud y Protección Social. (s. f.). </w:t>
      </w:r>
      <w:r w:rsidRPr="00A22098">
        <w:rPr>
          <w:rFonts w:ascii="Arial" w:eastAsia="Arial" w:hAnsi="Arial" w:cs="Arial"/>
          <w:i/>
          <w:iCs/>
          <w:color w:val="0A0A0A"/>
          <w:sz w:val="22"/>
          <w:szCs w:val="22"/>
        </w:rPr>
        <w:t>Cifras de aseguramiento en salud</w:t>
      </w:r>
      <w:r w:rsidRPr="00A22098">
        <w:rPr>
          <w:rFonts w:ascii="Arial" w:eastAsia="Arial" w:hAnsi="Arial" w:cs="Arial"/>
          <w:color w:val="0A0A0A"/>
          <w:sz w:val="22"/>
          <w:szCs w:val="22"/>
        </w:rPr>
        <w:t xml:space="preserve"> [tablero de consulta]. Recuperado el 6 de mayo de 2026, de </w:t>
      </w:r>
      <w:hyperlink r:id="rId56" w:tgtFrame="_new" w:history="1">
        <w:r w:rsidRPr="00A22098">
          <w:rPr>
            <w:rStyle w:val="Hipervnculo"/>
            <w:rFonts w:ascii="Arial" w:eastAsia="Arial" w:hAnsi="Arial" w:cs="Arial"/>
            <w:sz w:val="22"/>
            <w:szCs w:val="22"/>
          </w:rPr>
          <w:t>https://public.tableau.com/app/profile/minsaludcol/viz/CifrasAseguramientoenSalud_16166927767750/Aseguramiento</w:t>
        </w:r>
      </w:hyperlink>
      <w:r w:rsidRPr="00A22098">
        <w:rPr>
          <w:rFonts w:ascii="Arial" w:eastAsia="Arial" w:hAnsi="Arial" w:cs="Arial"/>
          <w:color w:val="0A0A0A"/>
          <w:sz w:val="22"/>
          <w:szCs w:val="22"/>
        </w:rPr>
        <w:t xml:space="preserve"> </w:t>
      </w:r>
    </w:p>
    <w:p w14:paraId="586982D1"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Presidencia de la República de Colombia. (2012, 10 de enero). </w:t>
      </w:r>
      <w:r w:rsidRPr="00A22098">
        <w:rPr>
          <w:rFonts w:ascii="Arial" w:eastAsia="Arial" w:hAnsi="Arial" w:cs="Arial"/>
          <w:i/>
          <w:iCs/>
          <w:color w:val="0A0A0A"/>
          <w:sz w:val="22"/>
          <w:szCs w:val="22"/>
        </w:rPr>
        <w:t>Decreto Ley 019 de 2012: Por el cual se dictan normas para suprimir o reformar regulaciones, procedimientos y trámites innecesarios existentes en la Administración Pública</w:t>
      </w:r>
      <w:r w:rsidRPr="00A22098">
        <w:rPr>
          <w:rFonts w:ascii="Arial" w:eastAsia="Arial" w:hAnsi="Arial" w:cs="Arial"/>
          <w:color w:val="0A0A0A"/>
          <w:sz w:val="22"/>
          <w:szCs w:val="22"/>
        </w:rPr>
        <w:t xml:space="preserve">. </w:t>
      </w:r>
      <w:hyperlink r:id="rId57" w:tgtFrame="_new" w:history="1">
        <w:r w:rsidRPr="00A22098">
          <w:rPr>
            <w:rStyle w:val="Hipervnculo"/>
            <w:rFonts w:ascii="Arial" w:eastAsia="Arial" w:hAnsi="Arial" w:cs="Arial"/>
            <w:sz w:val="22"/>
            <w:szCs w:val="22"/>
          </w:rPr>
          <w:t>https://www.funcionpublica.gov.co/eva/gestornormativo/norma.php?i=45322</w:t>
        </w:r>
      </w:hyperlink>
      <w:r w:rsidRPr="00A22098">
        <w:rPr>
          <w:rFonts w:ascii="Arial" w:eastAsia="Arial" w:hAnsi="Arial" w:cs="Arial"/>
          <w:color w:val="0A0A0A"/>
          <w:sz w:val="22"/>
          <w:szCs w:val="22"/>
        </w:rPr>
        <w:t xml:space="preserve"> </w:t>
      </w:r>
    </w:p>
    <w:p w14:paraId="62CC7FB0"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lastRenderedPageBreak/>
        <w:t xml:space="preserve">Presidencia de la República de Colombia. (2016, 6 de mayo). </w:t>
      </w:r>
      <w:r w:rsidRPr="00A22098">
        <w:rPr>
          <w:rFonts w:ascii="Arial" w:eastAsia="Arial" w:hAnsi="Arial" w:cs="Arial"/>
          <w:i/>
          <w:iCs/>
          <w:color w:val="0A0A0A"/>
          <w:sz w:val="22"/>
          <w:szCs w:val="22"/>
        </w:rPr>
        <w:t>Decreto 780 de 2016: Por medio del cual se expide el Decreto Único Reglamentario del Sector Salud y Protección Social</w:t>
      </w:r>
      <w:r w:rsidRPr="00A22098">
        <w:rPr>
          <w:rFonts w:ascii="Arial" w:eastAsia="Arial" w:hAnsi="Arial" w:cs="Arial"/>
          <w:color w:val="0A0A0A"/>
          <w:sz w:val="22"/>
          <w:szCs w:val="22"/>
        </w:rPr>
        <w:t xml:space="preserve">. </w:t>
      </w:r>
      <w:hyperlink r:id="rId58" w:tgtFrame="_new" w:history="1">
        <w:r w:rsidRPr="00A22098">
          <w:rPr>
            <w:rStyle w:val="Hipervnculo"/>
            <w:rFonts w:ascii="Arial" w:eastAsia="Arial" w:hAnsi="Arial" w:cs="Arial"/>
            <w:sz w:val="22"/>
            <w:szCs w:val="22"/>
          </w:rPr>
          <w:t>https://www.suin-juriscol.gov.co/viewDocument.asp?ruta=Decretos/30021559</w:t>
        </w:r>
      </w:hyperlink>
      <w:r w:rsidRPr="00A22098">
        <w:rPr>
          <w:rFonts w:ascii="Arial" w:eastAsia="Arial" w:hAnsi="Arial" w:cs="Arial"/>
          <w:color w:val="0A0A0A"/>
          <w:sz w:val="22"/>
          <w:szCs w:val="22"/>
        </w:rPr>
        <w:t xml:space="preserve"> </w:t>
      </w:r>
    </w:p>
    <w:p w14:paraId="5A4B7520"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4 de septiembre). </w:t>
      </w:r>
      <w:r w:rsidRPr="00A22098">
        <w:rPr>
          <w:rFonts w:ascii="Arial" w:eastAsia="Arial" w:hAnsi="Arial" w:cs="Arial"/>
          <w:i/>
          <w:iCs/>
          <w:color w:val="0A0A0A"/>
          <w:sz w:val="22"/>
          <w:szCs w:val="22"/>
        </w:rPr>
        <w:t>Resolución 943 de 2025: Por la cual se establecen acciones para la atención integral y segura de la población en edad fértil, gestantes y recién nacidos</w:t>
      </w:r>
      <w:r w:rsidRPr="00A22098">
        <w:rPr>
          <w:rFonts w:ascii="Arial" w:eastAsia="Arial" w:hAnsi="Arial" w:cs="Arial"/>
          <w:color w:val="0A0A0A"/>
          <w:sz w:val="22"/>
          <w:szCs w:val="22"/>
        </w:rPr>
        <w:t xml:space="preserve">. </w:t>
      </w:r>
      <w:hyperlink r:id="rId59" w:tgtFrame="_new" w:history="1">
        <w:r w:rsidRPr="00A22098">
          <w:rPr>
            <w:rStyle w:val="Hipervnculo"/>
            <w:rFonts w:ascii="Arial" w:eastAsia="Arial" w:hAnsi="Arial" w:cs="Arial"/>
            <w:sz w:val="22"/>
            <w:szCs w:val="22"/>
          </w:rPr>
          <w:t>https://www.alcaldiabogota.gov.co/sisjur/normas/Norma1.jsp?i=190983</w:t>
        </w:r>
      </w:hyperlink>
      <w:r w:rsidRPr="00A22098">
        <w:rPr>
          <w:rFonts w:ascii="Arial" w:eastAsia="Arial" w:hAnsi="Arial" w:cs="Arial"/>
          <w:color w:val="0A0A0A"/>
          <w:sz w:val="22"/>
          <w:szCs w:val="22"/>
        </w:rPr>
        <w:t xml:space="preserve"> </w:t>
      </w:r>
    </w:p>
    <w:p w14:paraId="1BD945F0"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Aplicativo RUAF-ND. Sistema de Estadísticas Vitales SDS – EEVV preliminares, ajustado a 10-12-2025</w:t>
      </w:r>
      <w:r w:rsidRPr="00A22098">
        <w:rPr>
          <w:rFonts w:ascii="Arial" w:eastAsia="Arial" w:hAnsi="Arial" w:cs="Arial"/>
          <w:color w:val="0A0A0A"/>
          <w:sz w:val="22"/>
          <w:szCs w:val="22"/>
        </w:rPr>
        <w:t xml:space="preserve"> [base de datos administrativa]. </w:t>
      </w:r>
    </w:p>
    <w:p w14:paraId="795CBE95"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Bogotá Te Escucha – Dirección de Aseguramiento y Garantía del Derecho a la Salud</w:t>
      </w:r>
      <w:r w:rsidRPr="00A22098">
        <w:rPr>
          <w:rFonts w:ascii="Arial" w:eastAsia="Arial" w:hAnsi="Arial" w:cs="Arial"/>
          <w:color w:val="0A0A0A"/>
          <w:sz w:val="22"/>
          <w:szCs w:val="22"/>
        </w:rPr>
        <w:t xml:space="preserve"> [base administrativa]. </w:t>
      </w:r>
    </w:p>
    <w:p w14:paraId="76085562"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Sistema de Información para el Monitoreo del Acceso (SIDMA)</w:t>
      </w:r>
      <w:r w:rsidRPr="00A22098">
        <w:rPr>
          <w:rFonts w:ascii="Arial" w:eastAsia="Arial" w:hAnsi="Arial" w:cs="Arial"/>
          <w:color w:val="0A0A0A"/>
          <w:sz w:val="22"/>
          <w:szCs w:val="22"/>
        </w:rPr>
        <w:t xml:space="preserve"> [base administrativa]. </w:t>
      </w:r>
    </w:p>
    <w:p w14:paraId="38C08929"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Tablero de control de vacunación trazadores de 0 a 5 años. Aplicativo PAI 2.5 SDS. Sistema de Información PAI. Bogotá, enero-diciembre de 2025</w:t>
      </w:r>
      <w:r w:rsidRPr="00A22098">
        <w:rPr>
          <w:rFonts w:ascii="Arial" w:eastAsia="Arial" w:hAnsi="Arial" w:cs="Arial"/>
          <w:color w:val="0A0A0A"/>
          <w:sz w:val="22"/>
          <w:szCs w:val="22"/>
        </w:rPr>
        <w:t xml:space="preserve">. </w:t>
      </w:r>
    </w:p>
    <w:p w14:paraId="4D5ACDC6"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Tablero de control de vacunación VPH de niños y niñas de 9 años. Aplicativo PAI 2.5 SDS. Sistema de Información PAI. Bogotá, enero-diciembre de 2025</w:t>
      </w:r>
      <w:r w:rsidRPr="00A22098">
        <w:rPr>
          <w:rFonts w:ascii="Arial" w:eastAsia="Arial" w:hAnsi="Arial" w:cs="Arial"/>
          <w:color w:val="0A0A0A"/>
          <w:sz w:val="22"/>
          <w:szCs w:val="22"/>
        </w:rPr>
        <w:t xml:space="preserve">. </w:t>
      </w:r>
    </w:p>
    <w:p w14:paraId="2F9503A4"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(2025). </w:t>
      </w:r>
      <w:r w:rsidRPr="00A22098">
        <w:rPr>
          <w:rFonts w:ascii="Arial" w:eastAsia="Arial" w:hAnsi="Arial" w:cs="Arial"/>
          <w:i/>
          <w:iCs/>
          <w:color w:val="0A0A0A"/>
          <w:sz w:val="22"/>
          <w:szCs w:val="22"/>
        </w:rPr>
        <w:t>Tablero de control para vacunación influenza abril-diciembre de 2025. Aplicativo PAI 2.5 SDS. Sistema de Información PAI. Bogotá, abril-diciembre de 2025</w:t>
      </w:r>
      <w:r w:rsidRPr="00A22098">
        <w:rPr>
          <w:rFonts w:ascii="Arial" w:eastAsia="Arial" w:hAnsi="Arial" w:cs="Arial"/>
          <w:color w:val="0A0A0A"/>
          <w:sz w:val="22"/>
          <w:szCs w:val="22"/>
        </w:rPr>
        <w:t xml:space="preserve">. </w:t>
      </w:r>
    </w:p>
    <w:p w14:paraId="02B974D6"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(2026, 16 de marzo). </w:t>
      </w:r>
      <w:r w:rsidRPr="00A22098">
        <w:rPr>
          <w:rFonts w:ascii="Arial" w:eastAsia="Arial" w:hAnsi="Arial" w:cs="Arial"/>
          <w:i/>
          <w:iCs/>
          <w:color w:val="0A0A0A"/>
          <w:sz w:val="22"/>
          <w:szCs w:val="22"/>
        </w:rPr>
        <w:t>Informe de seguimiento al cumplimiento de coberturas de vacunación del Programa Ampliado de Inmunizaciones (PAI), Bogotá. Año 2025. EAPB Coosalud</w:t>
      </w:r>
      <w:r w:rsidRPr="00A22098">
        <w:rPr>
          <w:rFonts w:ascii="Arial" w:eastAsia="Arial" w:hAnsi="Arial" w:cs="Arial"/>
          <w:color w:val="0A0A0A"/>
          <w:sz w:val="22"/>
          <w:szCs w:val="22"/>
        </w:rPr>
        <w:t xml:space="preserve"> (Radicado 2026-EE-25421). </w:t>
      </w:r>
    </w:p>
    <w:p w14:paraId="1FC3E972"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(2026). </w:t>
      </w:r>
      <w:r w:rsidRPr="00A22098">
        <w:rPr>
          <w:rFonts w:ascii="Arial" w:eastAsia="Arial" w:hAnsi="Arial" w:cs="Arial"/>
          <w:i/>
          <w:iCs/>
          <w:color w:val="0A0A0A"/>
          <w:sz w:val="22"/>
          <w:szCs w:val="22"/>
        </w:rPr>
        <w:t>Reporte de Google Forms del número de casos especiales detectados por GAMA (27/05/2025 - 31/01/2026)</w:t>
      </w:r>
      <w:r w:rsidRPr="00A22098">
        <w:rPr>
          <w:rFonts w:ascii="Arial" w:eastAsia="Arial" w:hAnsi="Arial" w:cs="Arial"/>
          <w:color w:val="0A0A0A"/>
          <w:sz w:val="22"/>
          <w:szCs w:val="22"/>
        </w:rPr>
        <w:t xml:space="preserve"> [reporte administrativo interno]. El documento usa este insumo para el análisis de red prestadora y capacidad instalada. </w:t>
      </w:r>
    </w:p>
    <w:p w14:paraId="39DF7AA1"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Secretaría Distrital de Salud de Bogotá, D. C. (s. f.). </w:t>
      </w:r>
      <w:r w:rsidRPr="00A22098">
        <w:rPr>
          <w:rFonts w:ascii="Arial" w:eastAsia="Arial" w:hAnsi="Arial" w:cs="Arial"/>
          <w:i/>
          <w:iCs/>
          <w:color w:val="0A0A0A"/>
          <w:sz w:val="22"/>
          <w:szCs w:val="22"/>
        </w:rPr>
        <w:t>Dirección de Coordinación y Regulación de Urgencias y Emergencias (DCRUE): Información CRUE</w:t>
      </w:r>
      <w:r w:rsidRPr="00A22098">
        <w:rPr>
          <w:rFonts w:ascii="Arial" w:eastAsia="Arial" w:hAnsi="Arial" w:cs="Arial"/>
          <w:color w:val="0A0A0A"/>
          <w:sz w:val="22"/>
          <w:szCs w:val="22"/>
        </w:rPr>
        <w:t xml:space="preserve">. </w:t>
      </w:r>
      <w:hyperlink r:id="rId60" w:tgtFrame="_new" w:history="1">
        <w:r w:rsidRPr="00A22098">
          <w:rPr>
            <w:rStyle w:val="Hipervnculo"/>
            <w:rFonts w:ascii="Arial" w:eastAsia="Arial" w:hAnsi="Arial" w:cs="Arial"/>
            <w:sz w:val="22"/>
            <w:szCs w:val="22"/>
          </w:rPr>
          <w:t>https://www.saludcapital.gov.co/DCRUE/paginas/informacion_crue.aspx</w:t>
        </w:r>
      </w:hyperlink>
      <w:r w:rsidRPr="00A22098">
        <w:rPr>
          <w:rFonts w:ascii="Arial" w:eastAsia="Arial" w:hAnsi="Arial" w:cs="Arial"/>
          <w:color w:val="0A0A0A"/>
          <w:sz w:val="22"/>
          <w:szCs w:val="22"/>
        </w:rPr>
        <w:t xml:space="preserve"> </w:t>
      </w:r>
    </w:p>
    <w:p w14:paraId="4D705684"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lastRenderedPageBreak/>
        <w:t xml:space="preserve">Secretaría Distrital de Salud de Bogotá, D. C. (s. f.). </w:t>
      </w:r>
      <w:r w:rsidRPr="00A22098">
        <w:rPr>
          <w:rFonts w:ascii="Arial" w:eastAsia="Arial" w:hAnsi="Arial" w:cs="Arial"/>
          <w:i/>
          <w:iCs/>
          <w:color w:val="0A0A0A"/>
          <w:sz w:val="22"/>
          <w:szCs w:val="22"/>
        </w:rPr>
        <w:t>Portal institucional de noticias y documentos técnicos sobre monitoreo y gestión de la atención en salud</w:t>
      </w:r>
      <w:r w:rsidRPr="00A22098">
        <w:rPr>
          <w:rFonts w:ascii="Arial" w:eastAsia="Arial" w:hAnsi="Arial" w:cs="Arial"/>
          <w:color w:val="0A0A0A"/>
          <w:sz w:val="22"/>
          <w:szCs w:val="22"/>
        </w:rPr>
        <w:t xml:space="preserve">. </w:t>
      </w:r>
      <w:hyperlink r:id="rId61" w:tgtFrame="_new" w:history="1">
        <w:r w:rsidRPr="00A22098">
          <w:rPr>
            <w:rStyle w:val="Hipervnculo"/>
            <w:rFonts w:ascii="Arial" w:eastAsia="Arial" w:hAnsi="Arial" w:cs="Arial"/>
            <w:sz w:val="22"/>
            <w:szCs w:val="22"/>
          </w:rPr>
          <w:t>https://www.saludcapital.gov.co/Paginas2/Noticia_Portal_Detalle.aspx?IP=2507</w:t>
        </w:r>
      </w:hyperlink>
      <w:r w:rsidRPr="00A22098">
        <w:rPr>
          <w:rFonts w:ascii="Arial" w:eastAsia="Arial" w:hAnsi="Arial" w:cs="Arial"/>
          <w:color w:val="0A0A0A"/>
          <w:sz w:val="22"/>
          <w:szCs w:val="22"/>
        </w:rPr>
        <w:t xml:space="preserve"> </w:t>
      </w:r>
    </w:p>
    <w:p w14:paraId="69B3F299"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(2020). </w:t>
      </w:r>
      <w:r w:rsidRPr="00A22098">
        <w:rPr>
          <w:rFonts w:ascii="Arial" w:eastAsia="Arial" w:hAnsi="Arial" w:cs="Arial"/>
          <w:i/>
          <w:iCs/>
          <w:color w:val="0A0A0A"/>
          <w:sz w:val="22"/>
          <w:szCs w:val="22"/>
        </w:rPr>
        <w:t>Circular 001 de 2020</w:t>
      </w:r>
      <w:r w:rsidRPr="00A22098">
        <w:rPr>
          <w:rFonts w:ascii="Arial" w:eastAsia="Arial" w:hAnsi="Arial" w:cs="Arial"/>
          <w:color w:val="0A0A0A"/>
          <w:sz w:val="22"/>
          <w:szCs w:val="22"/>
        </w:rPr>
        <w:t xml:space="preserve">. [Referencia normativa citada en auditoría GAUDI]. </w:t>
      </w:r>
    </w:p>
    <w:p w14:paraId="376EBFF5"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(2022). </w:t>
      </w:r>
      <w:r w:rsidRPr="00A22098">
        <w:rPr>
          <w:rFonts w:ascii="Arial" w:eastAsia="Arial" w:hAnsi="Arial" w:cs="Arial"/>
          <w:i/>
          <w:iCs/>
          <w:color w:val="0A0A0A"/>
          <w:sz w:val="22"/>
          <w:szCs w:val="22"/>
        </w:rPr>
        <w:t>Circular 046-5 de 2022</w:t>
      </w:r>
      <w:r w:rsidRPr="00A22098">
        <w:rPr>
          <w:rFonts w:ascii="Arial" w:eastAsia="Arial" w:hAnsi="Arial" w:cs="Arial"/>
          <w:color w:val="0A0A0A"/>
          <w:sz w:val="22"/>
          <w:szCs w:val="22"/>
        </w:rPr>
        <w:t xml:space="preserve">. [Referencia normativa citada en auditoría GAUDI]. </w:t>
      </w:r>
    </w:p>
    <w:p w14:paraId="2EC6F4D2"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(2023, 22 de junio). </w:t>
      </w:r>
      <w:r w:rsidRPr="00A22098">
        <w:rPr>
          <w:rFonts w:ascii="Arial" w:eastAsia="Arial" w:hAnsi="Arial" w:cs="Arial"/>
          <w:i/>
          <w:iCs/>
          <w:color w:val="0A0A0A"/>
          <w:sz w:val="22"/>
          <w:szCs w:val="22"/>
        </w:rPr>
        <w:t>Circular Externa 2023151000000010-5: Por la cual se modifican los términos para resolver los reclamos en salud</w:t>
      </w:r>
      <w:r w:rsidRPr="00A22098">
        <w:rPr>
          <w:rFonts w:ascii="Arial" w:eastAsia="Arial" w:hAnsi="Arial" w:cs="Arial"/>
          <w:color w:val="0A0A0A"/>
          <w:sz w:val="22"/>
          <w:szCs w:val="22"/>
        </w:rPr>
        <w:t xml:space="preserve">. </w:t>
      </w:r>
      <w:hyperlink r:id="rId62" w:tgtFrame="_new" w:history="1">
        <w:r w:rsidRPr="00A22098">
          <w:rPr>
            <w:rStyle w:val="Hipervnculo"/>
            <w:rFonts w:ascii="Arial" w:eastAsia="Arial" w:hAnsi="Arial" w:cs="Arial"/>
            <w:sz w:val="22"/>
            <w:szCs w:val="22"/>
          </w:rPr>
          <w:t>https://www.alcaldiabogota.gov.co/sisjur/normas/Norma1.jsp?i=143808</w:t>
        </w:r>
      </w:hyperlink>
      <w:r w:rsidRPr="00A22098">
        <w:rPr>
          <w:rFonts w:ascii="Arial" w:eastAsia="Arial" w:hAnsi="Arial" w:cs="Arial"/>
          <w:color w:val="0A0A0A"/>
          <w:sz w:val="22"/>
          <w:szCs w:val="22"/>
        </w:rPr>
        <w:t xml:space="preserve"> </w:t>
      </w:r>
    </w:p>
    <w:p w14:paraId="21AAD576"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(s. f.). </w:t>
      </w:r>
      <w:r w:rsidRPr="00A22098">
        <w:rPr>
          <w:rFonts w:ascii="Arial" w:eastAsia="Arial" w:hAnsi="Arial" w:cs="Arial"/>
          <w:i/>
          <w:iCs/>
          <w:color w:val="0A0A0A"/>
          <w:sz w:val="22"/>
          <w:szCs w:val="22"/>
        </w:rPr>
        <w:t>Abecé reporte PQRD / reclamos en salud</w:t>
      </w:r>
      <w:r w:rsidRPr="00A22098">
        <w:rPr>
          <w:rFonts w:ascii="Arial" w:eastAsia="Arial" w:hAnsi="Arial" w:cs="Arial"/>
          <w:color w:val="0A0A0A"/>
          <w:sz w:val="22"/>
          <w:szCs w:val="22"/>
        </w:rPr>
        <w:t xml:space="preserve"> [documento metodológico]. Recuperado el 23 de febrero de 2026, de </w:t>
      </w:r>
      <w:hyperlink r:id="rId63" w:tgtFrame="_new" w:history="1">
        <w:r w:rsidRPr="00A22098">
          <w:rPr>
            <w:rStyle w:val="Hipervnculo"/>
            <w:rFonts w:ascii="Arial" w:eastAsia="Arial" w:hAnsi="Arial" w:cs="Arial"/>
            <w:sz w:val="22"/>
            <w:szCs w:val="22"/>
          </w:rPr>
          <w:t>https://docs.supersalud.gov.co/PortalWeb/metodologias/OtrosDocumentosMetodologias/Abec%C3%A9%20reporte%20PQRD.pdf</w:t>
        </w:r>
      </w:hyperlink>
      <w:r w:rsidRPr="00A22098">
        <w:rPr>
          <w:rFonts w:ascii="Arial" w:eastAsia="Arial" w:hAnsi="Arial" w:cs="Arial"/>
          <w:color w:val="0A0A0A"/>
          <w:sz w:val="22"/>
          <w:szCs w:val="22"/>
        </w:rPr>
        <w:t xml:space="preserve"> </w:t>
      </w:r>
    </w:p>
    <w:p w14:paraId="31CBDA0C"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(s. f.). </w:t>
      </w:r>
      <w:r w:rsidRPr="00A22098">
        <w:rPr>
          <w:rFonts w:ascii="Arial" w:eastAsia="Arial" w:hAnsi="Arial" w:cs="Arial"/>
          <w:i/>
          <w:iCs/>
          <w:color w:val="0A0A0A"/>
          <w:sz w:val="22"/>
          <w:szCs w:val="22"/>
        </w:rPr>
        <w:t>Reclamos en salud por EPS – Histórico nacional</w:t>
      </w:r>
      <w:r w:rsidRPr="00A22098">
        <w:rPr>
          <w:rFonts w:ascii="Arial" w:eastAsia="Arial" w:hAnsi="Arial" w:cs="Arial"/>
          <w:color w:val="0A0A0A"/>
          <w:sz w:val="22"/>
          <w:szCs w:val="22"/>
        </w:rPr>
        <w:t xml:space="preserve"> [tablero de consulta]. Recuperado el 5 de mayo de 2026, de </w:t>
      </w:r>
      <w:hyperlink r:id="rId64" w:tgtFrame="_new" w:history="1">
        <w:r w:rsidRPr="00A22098">
          <w:rPr>
            <w:rStyle w:val="Hipervnculo"/>
            <w:rFonts w:ascii="Arial" w:eastAsia="Arial" w:hAnsi="Arial" w:cs="Arial"/>
            <w:sz w:val="22"/>
            <w:szCs w:val="22"/>
          </w:rPr>
          <w:t>https://app.powerbi.com/view?r=eyJrIjoiYTMwY2Y4ZjEtNWI0MC00YjAxLThjOGUtMjdiYWZhZjVlZjgzIiwidCI6IjE3YzQwYzUxLWIxZGYtNGUyNS04Y2Q2LTlkMGQyNjc4ODMwMCIsImMiOjR9&amp;disablecdnExpiration=1774397302</w:t>
        </w:r>
      </w:hyperlink>
      <w:r w:rsidRPr="00A22098">
        <w:rPr>
          <w:rFonts w:ascii="Arial" w:eastAsia="Arial" w:hAnsi="Arial" w:cs="Arial"/>
          <w:color w:val="0A0A0A"/>
          <w:sz w:val="22"/>
          <w:szCs w:val="22"/>
        </w:rPr>
        <w:t xml:space="preserve"> </w:t>
      </w:r>
    </w:p>
    <w:p w14:paraId="7478D174"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Superintendencia Nacional de Salud. (2025). </w:t>
      </w:r>
      <w:r w:rsidRPr="00A22098">
        <w:rPr>
          <w:rFonts w:ascii="Arial" w:eastAsia="Arial" w:hAnsi="Arial" w:cs="Arial"/>
          <w:i/>
          <w:iCs/>
          <w:color w:val="0A0A0A"/>
          <w:sz w:val="22"/>
          <w:szCs w:val="22"/>
        </w:rPr>
        <w:t>Catálogo de información financiera EPS del régimen contributivo y subsidiado consolidado a diciembre de 2025</w:t>
      </w:r>
      <w:r w:rsidRPr="00A22098">
        <w:rPr>
          <w:rFonts w:ascii="Arial" w:eastAsia="Arial" w:hAnsi="Arial" w:cs="Arial"/>
          <w:color w:val="0A0A0A"/>
          <w:sz w:val="22"/>
          <w:szCs w:val="22"/>
        </w:rPr>
        <w:t xml:space="preserve"> [portal de datos abiertos]. </w:t>
      </w:r>
      <w:hyperlink r:id="rId65" w:anchor="/datos-abiertos/documents/760d95890d79460da9715b83b9d27933/about" w:tgtFrame="_new" w:history="1">
        <w:r w:rsidRPr="00A22098">
          <w:rPr>
            <w:rStyle w:val="Hipervnculo"/>
            <w:rFonts w:ascii="Arial" w:eastAsia="Arial" w:hAnsi="Arial" w:cs="Arial"/>
            <w:sz w:val="22"/>
            <w:szCs w:val="22"/>
          </w:rPr>
          <w:t>https://mapas.supersalud.gov.co/arcgisportal/apps/sites/#/datos-abiertos/documents/760d95890d79460da9715b83b9d27933/about</w:t>
        </w:r>
      </w:hyperlink>
      <w:r w:rsidRPr="00A22098">
        <w:rPr>
          <w:rFonts w:ascii="Arial" w:eastAsia="Arial" w:hAnsi="Arial" w:cs="Arial"/>
          <w:color w:val="0A0A0A"/>
          <w:sz w:val="22"/>
          <w:szCs w:val="22"/>
        </w:rPr>
        <w:t xml:space="preserve"> </w:t>
      </w:r>
    </w:p>
    <w:p w14:paraId="5A0839D6" w14:textId="2A352386"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COOSALUD EPS. (2021-202</w:t>
      </w:r>
      <w:r w:rsidR="00D60CB9">
        <w:rPr>
          <w:rFonts w:ascii="Arial" w:eastAsia="Arial" w:hAnsi="Arial" w:cs="Arial"/>
          <w:color w:val="0A0A0A"/>
          <w:sz w:val="22"/>
          <w:szCs w:val="22"/>
        </w:rPr>
        <w:t>4</w:t>
      </w:r>
      <w:r w:rsidRPr="00A22098">
        <w:rPr>
          <w:rFonts w:ascii="Arial" w:eastAsia="Arial" w:hAnsi="Arial" w:cs="Arial"/>
          <w:color w:val="0A0A0A"/>
          <w:sz w:val="22"/>
          <w:szCs w:val="22"/>
        </w:rPr>
        <w:t xml:space="preserve">). </w:t>
      </w:r>
      <w:r w:rsidRPr="00A22098">
        <w:rPr>
          <w:rFonts w:ascii="Arial" w:eastAsia="Arial" w:hAnsi="Arial" w:cs="Arial"/>
          <w:i/>
          <w:iCs/>
          <w:color w:val="0A0A0A"/>
          <w:sz w:val="22"/>
          <w:szCs w:val="22"/>
        </w:rPr>
        <w:t>Estados financieros auditados de la entidad</w:t>
      </w:r>
      <w:r w:rsidRPr="00A22098">
        <w:rPr>
          <w:rFonts w:ascii="Arial" w:eastAsia="Arial" w:hAnsi="Arial" w:cs="Arial"/>
          <w:color w:val="0A0A0A"/>
          <w:sz w:val="22"/>
          <w:szCs w:val="22"/>
        </w:rPr>
        <w:t xml:space="preserve"> [documentos de soporte para análisis financiero]. </w:t>
      </w:r>
      <w:r w:rsidRPr="00A22098">
        <w:rPr>
          <w:rFonts w:ascii="Arial" w:eastAsia="Arial" w:hAnsi="Arial" w:cs="Arial"/>
          <w:b/>
          <w:bCs/>
          <w:color w:val="0A0A0A"/>
          <w:sz w:val="22"/>
          <w:szCs w:val="22"/>
        </w:rPr>
        <w:t>Referencia por verificar antes del cierre final</w:t>
      </w:r>
      <w:r w:rsidRPr="00A22098">
        <w:rPr>
          <w:rFonts w:ascii="Arial" w:eastAsia="Arial" w:hAnsi="Arial" w:cs="Arial"/>
          <w:color w:val="0A0A0A"/>
          <w:sz w:val="22"/>
          <w:szCs w:val="22"/>
        </w:rPr>
        <w:t xml:space="preserve">, dado que en la versión actual del informe aparece una URL que no corresponde a COOSALUD EPS. </w:t>
      </w:r>
    </w:p>
    <w:p w14:paraId="089FB9C3" w14:textId="77777777" w:rsidR="00A22098" w:rsidRPr="00A22098" w:rsidRDefault="00A22098" w:rsidP="007500D9">
      <w:pPr>
        <w:spacing w:line="360" w:lineRule="auto"/>
        <w:ind w:left="360" w:hanging="709"/>
        <w:jc w:val="both"/>
        <w:rPr>
          <w:rFonts w:ascii="Arial" w:eastAsia="Arial" w:hAnsi="Arial" w:cs="Arial"/>
          <w:color w:val="0A0A0A"/>
          <w:sz w:val="22"/>
          <w:szCs w:val="22"/>
        </w:rPr>
      </w:pPr>
      <w:r w:rsidRPr="00A22098">
        <w:rPr>
          <w:rFonts w:ascii="Arial" w:eastAsia="Arial" w:hAnsi="Arial" w:cs="Arial"/>
          <w:color w:val="0A0A0A"/>
          <w:sz w:val="22"/>
          <w:szCs w:val="22"/>
        </w:rPr>
        <w:t xml:space="preserve">COOSALUD EPS. (2026). </w:t>
      </w:r>
      <w:r w:rsidRPr="00A22098">
        <w:rPr>
          <w:rFonts w:ascii="Arial" w:eastAsia="Arial" w:hAnsi="Arial" w:cs="Arial"/>
          <w:i/>
          <w:iCs/>
          <w:color w:val="0A0A0A"/>
          <w:sz w:val="22"/>
          <w:szCs w:val="22"/>
        </w:rPr>
        <w:t>Información reportada a la Secretaría Distrital de Salud en el marco de requerimientos, auditorías IVS, visita administrativa y verificación de red farmacéutica</w:t>
      </w:r>
      <w:r w:rsidRPr="00A22098">
        <w:rPr>
          <w:rFonts w:ascii="Arial" w:eastAsia="Arial" w:hAnsi="Arial" w:cs="Arial"/>
          <w:color w:val="0A0A0A"/>
          <w:sz w:val="22"/>
          <w:szCs w:val="22"/>
        </w:rPr>
        <w:t xml:space="preserve"> [soportes institucionales y reportes de la entidad].</w:t>
      </w:r>
    </w:p>
    <w:p w14:paraId="74C259C1" w14:textId="77777777" w:rsidR="00A22098" w:rsidRPr="00A22098" w:rsidRDefault="00A22098" w:rsidP="007500D9">
      <w:pPr>
        <w:spacing w:line="360" w:lineRule="auto"/>
        <w:ind w:left="709" w:hanging="709"/>
        <w:jc w:val="both"/>
        <w:rPr>
          <w:rFonts w:ascii="Arial" w:eastAsia="Arial" w:hAnsi="Arial" w:cs="Arial"/>
          <w:color w:val="0A0A0A"/>
          <w:sz w:val="22"/>
          <w:szCs w:val="22"/>
        </w:rPr>
      </w:pPr>
    </w:p>
    <w:sectPr w:rsidR="00A22098" w:rsidRPr="00A22098" w:rsidSect="00BA26E9">
      <w:headerReference w:type="default" r:id="rId66"/>
      <w:pgSz w:w="12240" w:h="15840"/>
      <w:pgMar w:top="1418" w:right="1701" w:bottom="1418"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B5F6B" w14:textId="77777777" w:rsidR="00365FDF" w:rsidRDefault="00365FDF">
      <w:r>
        <w:separator/>
      </w:r>
    </w:p>
  </w:endnote>
  <w:endnote w:type="continuationSeparator" w:id="0">
    <w:p w14:paraId="0BBAE1A0" w14:textId="77777777" w:rsidR="00365FDF" w:rsidRDefault="00365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8DF9C" w14:textId="77777777" w:rsidR="00365FDF" w:rsidRDefault="00365FDF">
      <w:r>
        <w:separator/>
      </w:r>
    </w:p>
  </w:footnote>
  <w:footnote w:type="continuationSeparator" w:id="0">
    <w:p w14:paraId="255C359D" w14:textId="77777777" w:rsidR="00365FDF" w:rsidRDefault="00365FDF">
      <w:r>
        <w:continuationSeparator/>
      </w:r>
    </w:p>
  </w:footnote>
  <w:footnote w:id="1">
    <w:p w14:paraId="57F19647" w14:textId="77777777" w:rsidR="005D62BA" w:rsidRPr="000D2714" w:rsidRDefault="005D62BA" w:rsidP="005D62BA">
      <w:pPr>
        <w:pStyle w:val="Textonotapie"/>
        <w:spacing w:line="360" w:lineRule="auto"/>
        <w:jc w:val="both"/>
        <w:rPr>
          <w:rFonts w:ascii="Arial" w:hAnsi="Arial" w:cs="Arial"/>
          <w:sz w:val="16"/>
          <w:szCs w:val="16"/>
          <w:lang w:val="es-ES"/>
        </w:rPr>
      </w:pPr>
      <w:r w:rsidRPr="000D2714">
        <w:rPr>
          <w:rStyle w:val="Refdenotaalpie"/>
          <w:rFonts w:ascii="Arial" w:hAnsi="Arial" w:cs="Arial"/>
          <w:sz w:val="16"/>
          <w:szCs w:val="16"/>
        </w:rPr>
        <w:footnoteRef/>
      </w:r>
      <w:r w:rsidRPr="000D2714">
        <w:rPr>
          <w:rFonts w:ascii="Arial" w:hAnsi="Arial" w:cs="Arial"/>
          <w:sz w:val="16"/>
          <w:szCs w:val="16"/>
        </w:rPr>
        <w:t xml:space="preserve"> Las acciones de IVS se desarrollan principalmente mediante auditorías técnicas sustentadas en hallazgos y observaciones de carácter crítico y constructivo, que permiten evaluar el desempeño de las EAPB frente a la organización y garantía de la red, la calidad de los servicios contratados y la capacidad de respuesta a las necesidades de la población afiliada. Asimismo, dichas auditorías contribuyen a consolidar evidencias para la formulación de medidas de mejora y planes de acción, promoviendo el uso adecuado, eficiente y transparente de los recursos, de acuerdo con la normatividad vigente y con los resultados esperados en salud.</w:t>
      </w:r>
    </w:p>
  </w:footnote>
  <w:footnote w:id="2">
    <w:p w14:paraId="6A1F006D" w14:textId="77777777" w:rsidR="005D62BA" w:rsidRPr="003541C4" w:rsidRDefault="005D62BA" w:rsidP="005D62BA">
      <w:pPr>
        <w:pStyle w:val="Textonotapie"/>
        <w:spacing w:line="360" w:lineRule="auto"/>
        <w:jc w:val="both"/>
        <w:rPr>
          <w:rFonts w:ascii="Arial" w:hAnsi="Arial" w:cs="Arial"/>
          <w:sz w:val="16"/>
          <w:szCs w:val="16"/>
          <w:lang w:val="es-ES"/>
        </w:rPr>
      </w:pPr>
      <w:r w:rsidRPr="003541C4">
        <w:rPr>
          <w:rStyle w:val="Refdenotaalpie"/>
          <w:rFonts w:ascii="Arial" w:hAnsi="Arial" w:cs="Arial"/>
          <w:sz w:val="16"/>
          <w:szCs w:val="16"/>
          <w:lang w:val="es-ES"/>
        </w:rPr>
        <w:footnoteRef/>
      </w:r>
      <w:r w:rsidRPr="003541C4">
        <w:rPr>
          <w:rFonts w:ascii="Arial" w:hAnsi="Arial" w:cs="Arial"/>
          <w:sz w:val="16"/>
          <w:szCs w:val="16"/>
          <w:lang w:val="es-ES"/>
        </w:rPr>
        <w:t xml:space="preserve"> BDUA –ADRES 31 </w:t>
      </w:r>
      <w:r w:rsidRPr="00B65C58">
        <w:rPr>
          <w:rFonts w:ascii="Arial" w:hAnsi="Arial" w:cs="Arial"/>
          <w:sz w:val="16"/>
          <w:szCs w:val="16"/>
          <w:lang w:val="es-ES"/>
        </w:rPr>
        <w:t>diciembre</w:t>
      </w:r>
      <w:r w:rsidRPr="003541C4">
        <w:rPr>
          <w:rFonts w:ascii="Arial" w:hAnsi="Arial" w:cs="Arial"/>
          <w:sz w:val="16"/>
          <w:szCs w:val="16"/>
          <w:lang w:val="es-ES"/>
        </w:rPr>
        <w:t xml:space="preserve"> </w:t>
      </w:r>
      <w:r w:rsidRPr="00B65C58">
        <w:rPr>
          <w:rFonts w:ascii="Arial" w:hAnsi="Arial" w:cs="Arial"/>
          <w:sz w:val="16"/>
          <w:szCs w:val="16"/>
          <w:lang w:val="es-ES"/>
        </w:rPr>
        <w:t xml:space="preserve">de </w:t>
      </w:r>
      <w:r w:rsidRPr="003541C4">
        <w:rPr>
          <w:rFonts w:ascii="Arial" w:hAnsi="Arial" w:cs="Arial"/>
          <w:sz w:val="16"/>
          <w:szCs w:val="16"/>
          <w:lang w:val="es-ES"/>
        </w:rPr>
        <w:t>2025</w:t>
      </w:r>
    </w:p>
  </w:footnote>
  <w:footnote w:id="3">
    <w:p w14:paraId="42603F3F" w14:textId="77777777" w:rsidR="005D62BA" w:rsidRPr="007228BA" w:rsidRDefault="005D62BA" w:rsidP="005D62BA">
      <w:pPr>
        <w:pStyle w:val="Textonotapie"/>
        <w:spacing w:line="360" w:lineRule="auto"/>
        <w:jc w:val="both"/>
        <w:rPr>
          <w:rFonts w:ascii="Arial" w:hAnsi="Arial" w:cs="Arial"/>
        </w:rPr>
      </w:pPr>
      <w:r w:rsidRPr="007228BA">
        <w:rPr>
          <w:rStyle w:val="Refdenotaalpie"/>
          <w:rFonts w:ascii="Arial" w:hAnsi="Arial" w:cs="Arial"/>
          <w:sz w:val="16"/>
          <w:szCs w:val="16"/>
        </w:rPr>
        <w:footnoteRef/>
      </w:r>
      <w:r w:rsidRPr="007228BA">
        <w:rPr>
          <w:rFonts w:ascii="Arial" w:hAnsi="Arial" w:cs="Arial"/>
          <w:sz w:val="16"/>
          <w:szCs w:val="16"/>
        </w:rPr>
        <w:t xml:space="preserve">   Nota aclaratoria: La Tabla 2 presenta únicamente la distribución de afiliados por EPS de los regímenes contributivo y subsidiado en Bogotá para 2025; por tanto, no incluye los afiliados pertenecientes a los regímenes de excepción, razón por la cual su total no coincide con el consolidado general del aseguramiento presentado en la Tabla 1. Estos regímenes se reportan de manera agregada en el estado general del aseguramiento, pero no hacen parte de la desagregación por EPS incluida en dicha tabla.</w:t>
      </w:r>
    </w:p>
  </w:footnote>
  <w:footnote w:id="4">
    <w:p w14:paraId="37F6AFE7" w14:textId="2F493449" w:rsidR="00472E1F" w:rsidRPr="00CF2306" w:rsidRDefault="00472E1F" w:rsidP="005466F0">
      <w:pPr>
        <w:pStyle w:val="Textonotapie"/>
        <w:spacing w:line="360" w:lineRule="auto"/>
        <w:jc w:val="both"/>
        <w:rPr>
          <w:rFonts w:ascii="Arial" w:hAnsi="Arial" w:cs="Arial"/>
          <w:sz w:val="16"/>
          <w:szCs w:val="16"/>
        </w:rPr>
      </w:pPr>
      <w:r w:rsidRPr="005466F0">
        <w:rPr>
          <w:rStyle w:val="Refdenotaalpie"/>
          <w:rFonts w:ascii="Arial" w:hAnsi="Arial" w:cs="Arial"/>
          <w:sz w:val="16"/>
          <w:szCs w:val="16"/>
        </w:rPr>
        <w:footnoteRef/>
      </w:r>
      <w:r w:rsidRPr="005466F0">
        <w:rPr>
          <w:rFonts w:ascii="Arial" w:hAnsi="Arial" w:cs="Arial"/>
          <w:sz w:val="16"/>
          <w:szCs w:val="16"/>
        </w:rPr>
        <w:t xml:space="preserve"> El reporte de Reclamos en salud se construye a partir de dos fuentes de información: la base de reclamos radicados ante la SNS y la Base de Datos Única de Afiliados- BDUA que contiene la información de afiliados al Sistema General de Seguridad Social en Salud publicada a través del cubo SISPRO_BDUA. Para el caso de esta segunda fuente de información se tienen en cuenta los afiliados que presentan los siguientes estados: activo, protección laboral, suspendido, suspendido por documento y suspendido por mora; así como los afiliados que se encuentran en movilidad. Lo anterior, considerando los Decretos 3047-2013 y 2635-2014</w:t>
      </w:r>
      <w:r>
        <w:rPr>
          <w:rFonts w:ascii="Arial" w:hAnsi="Arial" w:cs="Arial"/>
          <w:sz w:val="16"/>
          <w:szCs w:val="16"/>
        </w:rPr>
        <w:t>. Superintendencia de salud – consultado el 23 de febrero de 202</w:t>
      </w:r>
      <w:r w:rsidR="00100437">
        <w:rPr>
          <w:rFonts w:ascii="Arial" w:hAnsi="Arial" w:cs="Arial"/>
          <w:sz w:val="16"/>
          <w:szCs w:val="16"/>
        </w:rPr>
        <w:t>6</w:t>
      </w:r>
      <w:r>
        <w:rPr>
          <w:rFonts w:ascii="Arial" w:hAnsi="Arial" w:cs="Arial"/>
          <w:sz w:val="16"/>
          <w:szCs w:val="16"/>
        </w:rPr>
        <w:t xml:space="preserve"> en: </w:t>
      </w:r>
      <w:hyperlink r:id="rId1" w:history="1">
        <w:r w:rsidRPr="00D65AEF">
          <w:rPr>
            <w:rStyle w:val="Hipervnculo"/>
            <w:rFonts w:ascii="Arial" w:hAnsi="Arial" w:cs="Arial"/>
            <w:sz w:val="16"/>
            <w:szCs w:val="16"/>
          </w:rPr>
          <w:t>https://docs.supersalud.gov.co/PortalWeb/metodologias/OtrosDocumentosMetodologias/Abec%C3%A9%20reporte%20PQRD.pdf</w:t>
        </w:r>
      </w:hyperlink>
    </w:p>
  </w:footnote>
  <w:footnote w:id="5">
    <w:p w14:paraId="3F32C1FB" w14:textId="5032E753" w:rsidR="00472E1F" w:rsidRPr="00D23C6E" w:rsidRDefault="00472E1F">
      <w:pPr>
        <w:pStyle w:val="Textonotapie"/>
        <w:rPr>
          <w:rFonts w:ascii="Arial" w:hAnsi="Arial" w:cs="Arial"/>
        </w:rPr>
      </w:pPr>
      <w:r w:rsidRPr="00D23C6E">
        <w:rPr>
          <w:rStyle w:val="Refdenotaalpie"/>
          <w:rFonts w:ascii="Arial" w:hAnsi="Arial" w:cs="Arial"/>
          <w:sz w:val="16"/>
          <w:szCs w:val="16"/>
        </w:rPr>
        <w:footnoteRef/>
      </w:r>
      <w:r w:rsidRPr="00D23C6E">
        <w:rPr>
          <w:rFonts w:ascii="Arial" w:hAnsi="Arial" w:cs="Arial"/>
          <w:sz w:val="16"/>
          <w:szCs w:val="16"/>
        </w:rPr>
        <w:t xml:space="preserve"> Vigencia 2025 (01 de enero a 31 de diciembre de 2025)</w:t>
      </w:r>
    </w:p>
  </w:footnote>
  <w:footnote w:id="6">
    <w:p w14:paraId="1D15B2F4" w14:textId="349385BD" w:rsidR="00F9675F" w:rsidRPr="00F9675F" w:rsidRDefault="00F9675F" w:rsidP="00112C87">
      <w:pPr>
        <w:pStyle w:val="Textonotapie"/>
        <w:spacing w:line="360" w:lineRule="auto"/>
        <w:jc w:val="both"/>
        <w:rPr>
          <w:rFonts w:ascii="Arial" w:hAnsi="Arial" w:cs="Arial"/>
        </w:rPr>
      </w:pPr>
      <w:r w:rsidRPr="00F9675F">
        <w:rPr>
          <w:rStyle w:val="Refdenotaalpie"/>
          <w:rFonts w:ascii="Arial" w:hAnsi="Arial" w:cs="Arial"/>
          <w:sz w:val="16"/>
          <w:szCs w:val="16"/>
        </w:rPr>
        <w:footnoteRef/>
      </w:r>
      <w:r w:rsidRPr="00F9675F">
        <w:rPr>
          <w:rFonts w:ascii="Arial" w:hAnsi="Arial" w:cs="Arial"/>
          <w:sz w:val="16"/>
          <w:szCs w:val="16"/>
        </w:rPr>
        <w:t xml:space="preserve"> Nota: Los porcentajes de participación se calcularon sobre el total de PQRSD registradas en la vigencia. En conjunto, los cinco motivos aquí presentados concentran el 69,92% del total de manifestaciones.</w:t>
      </w:r>
    </w:p>
  </w:footnote>
  <w:footnote w:id="7">
    <w:p w14:paraId="592E2EEF" w14:textId="6BDC2090" w:rsidR="00C807E0" w:rsidRPr="00C807E0" w:rsidRDefault="00C807E0" w:rsidP="00C807E0">
      <w:pPr>
        <w:pStyle w:val="Textonotapie"/>
        <w:spacing w:line="360" w:lineRule="auto"/>
        <w:jc w:val="both"/>
        <w:rPr>
          <w:rFonts w:ascii="Arial" w:hAnsi="Arial" w:cs="Arial"/>
        </w:rPr>
      </w:pPr>
      <w:r w:rsidRPr="00C807E0">
        <w:rPr>
          <w:rStyle w:val="Refdenotaalpie"/>
          <w:rFonts w:ascii="Arial" w:hAnsi="Arial" w:cs="Arial"/>
          <w:sz w:val="16"/>
          <w:szCs w:val="16"/>
        </w:rPr>
        <w:footnoteRef/>
      </w:r>
      <w:r w:rsidRPr="00C807E0">
        <w:rPr>
          <w:rFonts w:ascii="Arial" w:hAnsi="Arial" w:cs="Arial"/>
          <w:sz w:val="16"/>
          <w:szCs w:val="16"/>
        </w:rPr>
        <w:t xml:space="preserve"> El número de nacimientos presentado en la tabla corresponde a los nacimientos registrados en Bogotá D. C. durante el periodo analizado. En consecuencia, la interpretación de la tasa debe realizarse teniendo en cuenta que el denominador utilizado proviene del registro distrital de nacimientos reportado en la fuente oficial consultada.</w:t>
      </w:r>
    </w:p>
  </w:footnote>
  <w:footnote w:id="8">
    <w:p w14:paraId="793B006E" w14:textId="6CBC6501" w:rsidR="00472E1F" w:rsidRPr="00EC4BA3" w:rsidRDefault="00472E1F" w:rsidP="00D94280">
      <w:pPr>
        <w:pStyle w:val="Textonotapie"/>
        <w:spacing w:line="360" w:lineRule="auto"/>
        <w:jc w:val="both"/>
        <w:rPr>
          <w:rFonts w:ascii="Arial" w:hAnsi="Arial" w:cs="Arial"/>
          <w:sz w:val="16"/>
          <w:szCs w:val="16"/>
        </w:rPr>
      </w:pPr>
      <w:r w:rsidRPr="00EC4BA3">
        <w:rPr>
          <w:rStyle w:val="Refdenotaalpie"/>
          <w:rFonts w:ascii="Arial" w:hAnsi="Arial" w:cs="Arial"/>
          <w:sz w:val="16"/>
          <w:szCs w:val="16"/>
        </w:rPr>
        <w:footnoteRef/>
      </w:r>
      <w:r w:rsidRPr="00EC4BA3">
        <w:rPr>
          <w:rFonts w:ascii="Arial" w:hAnsi="Arial" w:cs="Arial"/>
          <w:sz w:val="16"/>
          <w:szCs w:val="16"/>
        </w:rPr>
        <w:t xml:space="preserve">El Grupo GAMA (Grupo de Apoyo y Monitoreo a la Atención) es un equipo de la Secretaría Distrital de Salud de Bogotá que apoya el monitoreo de la atención y la gestión operativa para mejorar el acceso efectivo y la continuidad asistencial, incluyendo acciones de apoyo a prestadores y seguimiento de casos en el marco de estrategias distritales. En escenarios de presión hospitalaria, se le reconoce además un rol en la optimización del uso de camas mediante la articulación de traslados/flujo asistencial (p. ej., de UCI a niveles de menor complejidad y a modalidades como atención domiciliaria), contribuyendo a descongestionar la red. Consultado en </w:t>
      </w:r>
      <w:hyperlink r:id="rId2" w:history="1">
        <w:r w:rsidRPr="00EC4BA3">
          <w:rPr>
            <w:rStyle w:val="Hipervnculo"/>
            <w:rFonts w:ascii="Arial" w:hAnsi="Arial" w:cs="Arial"/>
            <w:sz w:val="16"/>
            <w:szCs w:val="16"/>
          </w:rPr>
          <w:t>https://www.saludcapital.gov.co/Paginas2/Noticia_Portal_Detalle.aspx?IP=2507</w:t>
        </w:r>
      </w:hyperlink>
      <w:r w:rsidRPr="00EC4BA3">
        <w:rPr>
          <w:rFonts w:ascii="Arial" w:hAnsi="Arial" w:cs="Arial"/>
          <w:sz w:val="16"/>
          <w:szCs w:val="16"/>
        </w:rPr>
        <w:t xml:space="preserve">; </w:t>
      </w:r>
      <w:hyperlink r:id="rId3" w:history="1">
        <w:r w:rsidRPr="00EC4BA3">
          <w:rPr>
            <w:rStyle w:val="Hipervnculo"/>
            <w:rFonts w:ascii="Arial" w:hAnsi="Arial" w:cs="Arial"/>
            <w:sz w:val="16"/>
            <w:szCs w:val="16"/>
          </w:rPr>
          <w:t>https://www.saludcapital.gov.co/DCRUE/paginas/informacion_crue.aspx</w:t>
        </w:r>
      </w:hyperlink>
      <w:r w:rsidRPr="00EC4BA3">
        <w:rPr>
          <w:rFonts w:ascii="Arial" w:hAnsi="Arial" w:cs="Arial"/>
          <w:sz w:val="16"/>
          <w:szCs w:val="16"/>
        </w:rPr>
        <w:t xml:space="preserve">; </w:t>
      </w:r>
      <w:hyperlink r:id="rId4" w:history="1">
        <w:r w:rsidRPr="00EC4BA3">
          <w:rPr>
            <w:rStyle w:val="Hipervnculo"/>
            <w:rFonts w:ascii="Arial" w:hAnsi="Arial" w:cs="Arial"/>
            <w:sz w:val="16"/>
            <w:szCs w:val="16"/>
          </w:rPr>
          <w:t>https://anmdecolombia.org.co/el-secretario-distrital-de-salud-responde-en-la-academia-a-temas-coyunturales-sobre-salud-en-la-capital/</w:t>
        </w:r>
      </w:hyperlink>
      <w:r w:rsidRPr="00EC4BA3">
        <w:rPr>
          <w:rFonts w:ascii="Arial" w:hAnsi="Arial" w:cs="Arial"/>
          <w:sz w:val="16"/>
          <w:szCs w:val="16"/>
        </w:rPr>
        <w:t xml:space="preserve">; </w:t>
      </w:r>
      <w:hyperlink r:id="rId5" w:history="1">
        <w:r w:rsidRPr="00EC4BA3">
          <w:rPr>
            <w:rStyle w:val="Hipervnculo"/>
            <w:rFonts w:ascii="Arial" w:hAnsi="Arial" w:cs="Arial"/>
            <w:sz w:val="16"/>
            <w:szCs w:val="16"/>
          </w:rPr>
          <w:t>https://www.saludcapital.gov.co/Salud_info/Proy_salud_materno.pdf</w:t>
        </w:r>
      </w:hyperlink>
      <w:r w:rsidRPr="00EC4BA3">
        <w:rPr>
          <w:rFonts w:ascii="Arial" w:hAnsi="Arial" w:cs="Arial"/>
          <w:sz w:val="16"/>
          <w:szCs w:val="16"/>
        </w:rPr>
        <w:t>.</w:t>
      </w:r>
    </w:p>
  </w:footnote>
  <w:footnote w:id="9">
    <w:p w14:paraId="76584B88" w14:textId="623EEA97" w:rsidR="0038644E" w:rsidRPr="0038644E" w:rsidRDefault="0038644E" w:rsidP="0038644E">
      <w:pPr>
        <w:pStyle w:val="Textonotapie"/>
        <w:spacing w:line="360" w:lineRule="auto"/>
        <w:jc w:val="both"/>
        <w:rPr>
          <w:rFonts w:ascii="Arial" w:hAnsi="Arial" w:cs="Arial"/>
        </w:rPr>
      </w:pPr>
      <w:r w:rsidRPr="0038644E">
        <w:rPr>
          <w:rStyle w:val="Refdenotaalpie"/>
          <w:rFonts w:ascii="Arial" w:hAnsi="Arial" w:cs="Arial"/>
          <w:sz w:val="16"/>
          <w:szCs w:val="16"/>
        </w:rPr>
        <w:footnoteRef/>
      </w:r>
      <w:r w:rsidRPr="0038644E">
        <w:rPr>
          <w:rFonts w:ascii="Arial" w:hAnsi="Arial" w:cs="Arial"/>
          <w:sz w:val="16"/>
          <w:szCs w:val="16"/>
        </w:rPr>
        <w:t xml:space="preserve"> </w:t>
      </w:r>
      <w:r w:rsidRPr="0038644E">
        <w:rPr>
          <w:rFonts w:ascii="Arial" w:hAnsi="Arial" w:cs="Arial"/>
          <w:sz w:val="16"/>
          <w:szCs w:val="16"/>
        </w:rPr>
        <w:t xml:space="preserve">Nota: La categoría </w:t>
      </w:r>
      <w:r w:rsidR="006E486C" w:rsidRPr="0038644E">
        <w:rPr>
          <w:rFonts w:ascii="Arial" w:hAnsi="Arial" w:cs="Arial"/>
          <w:sz w:val="16"/>
          <w:szCs w:val="16"/>
        </w:rPr>
        <w:t xml:space="preserve">Otros </w:t>
      </w:r>
      <w:r w:rsidRPr="0038644E">
        <w:rPr>
          <w:rFonts w:ascii="Arial" w:hAnsi="Arial" w:cs="Arial"/>
          <w:sz w:val="16"/>
          <w:szCs w:val="16"/>
        </w:rPr>
        <w:t>agrupa los casos no incluidos en el detalle de IPS listado en la tabla, incluyendo eventos identificados en instituciones no reconocidas en el cruce con la red reportada por la EPS y casos sin desagregación institucional específica.</w:t>
      </w:r>
    </w:p>
  </w:footnote>
  <w:footnote w:id="10">
    <w:p w14:paraId="6BBC7DB0" w14:textId="6969E8E9" w:rsidR="00583A33" w:rsidRPr="00583A33" w:rsidRDefault="00583A33" w:rsidP="00583A33">
      <w:pPr>
        <w:pStyle w:val="Textonotapie"/>
        <w:spacing w:line="360" w:lineRule="auto"/>
        <w:jc w:val="both"/>
        <w:rPr>
          <w:rFonts w:ascii="Arial" w:hAnsi="Arial" w:cs="Arial"/>
        </w:rPr>
      </w:pPr>
      <w:r w:rsidRPr="00583A33">
        <w:rPr>
          <w:rStyle w:val="Refdenotaalpie"/>
          <w:rFonts w:ascii="Arial" w:hAnsi="Arial" w:cs="Arial"/>
          <w:sz w:val="16"/>
          <w:szCs w:val="16"/>
        </w:rPr>
        <w:footnoteRef/>
      </w:r>
      <w:r w:rsidRPr="00583A33">
        <w:rPr>
          <w:rFonts w:ascii="Arial" w:hAnsi="Arial" w:cs="Arial"/>
          <w:sz w:val="16"/>
          <w:szCs w:val="16"/>
        </w:rPr>
        <w:t xml:space="preserve"> </w:t>
      </w:r>
      <w:r w:rsidRPr="00583A33">
        <w:rPr>
          <w:rFonts w:ascii="Arial" w:hAnsi="Arial" w:cs="Arial"/>
          <w:sz w:val="16"/>
          <w:szCs w:val="16"/>
        </w:rPr>
        <w:t>Los porcentajes presentados en la Tabla 18 se calcularon sobre el total de 199 casos correspondientes a COOSALUD EPS identificados en el seguimiento realizado por GAMA, y no sobre los 48 casos incluidos en el detalle de esta tabla. En consecuencia, la suma de los porcentajes aquí reportados corresponde al peso de cada categoría frente al total de casos de la EPS en el periodo analizado.</w:t>
      </w:r>
    </w:p>
  </w:footnote>
  <w:footnote w:id="11">
    <w:p w14:paraId="035FAE37" w14:textId="77777777" w:rsidR="00C95308" w:rsidRPr="00632D77" w:rsidRDefault="00C95308" w:rsidP="00C95308">
      <w:pPr>
        <w:pStyle w:val="Textonotapie"/>
        <w:spacing w:line="360" w:lineRule="auto"/>
        <w:jc w:val="both"/>
        <w:rPr>
          <w:rFonts w:ascii="Arial" w:hAnsi="Arial" w:cs="Arial"/>
        </w:rPr>
      </w:pPr>
      <w:r w:rsidRPr="00632D77">
        <w:rPr>
          <w:rStyle w:val="Refdenotaalpie"/>
          <w:rFonts w:ascii="Arial" w:hAnsi="Arial" w:cs="Arial"/>
        </w:rPr>
        <w:footnoteRef/>
      </w:r>
      <w:r w:rsidRPr="00632D77">
        <w:rPr>
          <w:rFonts w:ascii="Arial" w:hAnsi="Arial" w:cs="Arial"/>
        </w:rPr>
        <w:t xml:space="preserve"> Para efectos del presente análisis, el rubro de cuentas por pagar de COOSALUD EPS corresponde a la consolidación de las siguientes cuentas contables: Cuentas por pagar al costo, Cuentas por pagar a vinculados económicos o partes relacionadas al costo, Cuentas por pagar al ADRES al costo y Costos y gastos por pagar al costo.</w:t>
      </w:r>
    </w:p>
  </w:footnote>
  <w:footnote w:id="12">
    <w:p w14:paraId="08AB1FAB" w14:textId="77777777" w:rsidR="00C95308" w:rsidRDefault="00C95308" w:rsidP="00C95308">
      <w:pPr>
        <w:pStyle w:val="Textonotapie"/>
        <w:spacing w:line="360" w:lineRule="auto"/>
        <w:jc w:val="both"/>
        <w:rPr>
          <w:rFonts w:ascii="Arial" w:hAnsi="Arial" w:cs="Arial"/>
        </w:rPr>
      </w:pPr>
      <w:r w:rsidRPr="00632D77">
        <w:rPr>
          <w:rStyle w:val="Refdenotaalpie"/>
          <w:rFonts w:ascii="Arial" w:hAnsi="Arial" w:cs="Arial"/>
        </w:rPr>
        <w:footnoteRef/>
      </w:r>
      <w:r w:rsidRPr="00632D77">
        <w:rPr>
          <w:rFonts w:ascii="Arial" w:hAnsi="Arial" w:cs="Arial"/>
        </w:rPr>
        <w:t xml:space="preserve">   La reserva técnica, según el Decreto 780 de 2016 (art. 2.5.2.2.1.9), es la obligación de las EPS de calcular, constituir y mantener actualizadas mensualmente reservas para garantizar el pago de los servicios de salud a su cargo. Incluye una reserva para obligaciones pendientes que cubre tanto servicios ya conocidos por la entidad como los ocurridos, pero aún no conocidos; y define que la reserva de obligaciones pendientes y conocidas se constituye desde que la EPS conoce el hecho generador, mientras que la reserva de obligaciones pendientes aún no conocidas corresponde a una estimación de obligaciones ya causadas que la EPS aún desconoce, calculada con metodologías actuariales (p. ej., “métodos de triángulos”).</w:t>
      </w:r>
    </w:p>
    <w:p w14:paraId="27EA92A1" w14:textId="77777777" w:rsidR="00C95308" w:rsidRPr="00632D77" w:rsidRDefault="00C95308" w:rsidP="00C95308">
      <w:pPr>
        <w:pStyle w:val="Textonotapie"/>
        <w:spacing w:line="360" w:lineRule="auto"/>
        <w:jc w:val="both"/>
        <w:rPr>
          <w:rFonts w:ascii="Arial" w:hAnsi="Arial" w:cs="Arial"/>
        </w:rPr>
      </w:pPr>
    </w:p>
  </w:footnote>
  <w:footnote w:id="13">
    <w:p w14:paraId="6D07E41B" w14:textId="77777777" w:rsidR="00C95308" w:rsidRPr="00883A52" w:rsidRDefault="00C95308" w:rsidP="00C95308">
      <w:pPr>
        <w:pStyle w:val="Textonotapie"/>
        <w:spacing w:line="360" w:lineRule="auto"/>
        <w:jc w:val="both"/>
        <w:rPr>
          <w:rFonts w:ascii="Arial" w:hAnsi="Arial" w:cs="Arial"/>
        </w:rPr>
      </w:pPr>
      <w:r w:rsidRPr="00883A52">
        <w:rPr>
          <w:rStyle w:val="Refdenotaalpie"/>
          <w:rFonts w:ascii="Arial" w:hAnsi="Arial" w:cs="Arial"/>
        </w:rPr>
        <w:footnoteRef/>
      </w:r>
      <w:r w:rsidRPr="00883A52">
        <w:rPr>
          <w:rFonts w:ascii="Arial" w:hAnsi="Arial" w:cs="Arial"/>
        </w:rPr>
        <w:t xml:space="preserve"> Para efectos del presente análisis, el indicador de reservas técnicas de COOSALUD EPS corresponde a la consolidación de las siguientes cuentas: Reservas técnicas - obligaciones liquidadas pendientes de pago - servicio de salud (UPC), Reservas técnicas - obligaciones liquidadas pendientes de pago - incapacidades (UPC), Reservas técnicas - obligaciones pendientes conocidas no liquidadas por servicios de salud (facturadas), Reservas técnicas - obligaciones liquidadas pendientes de pago - presupuesto máximo y provisiones.</w:t>
      </w:r>
    </w:p>
    <w:p w14:paraId="62C6D3CC" w14:textId="77777777" w:rsidR="00C95308" w:rsidRDefault="00C95308" w:rsidP="00C95308">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B1801" w14:textId="65E02A7F" w:rsidR="009170C7" w:rsidRDefault="009170C7">
    <w:pPr>
      <w:pStyle w:val="Encabezado"/>
    </w:pPr>
    <w:r w:rsidRPr="006068A2">
      <w:rPr>
        <w:rFonts w:ascii="Arial" w:hAnsi="Arial" w:cs="Arial"/>
        <w:b/>
        <w:bCs/>
        <w:noProof/>
        <w:sz w:val="22"/>
        <w:szCs w:val="22"/>
        <w:lang w:eastAsia="es-CO"/>
      </w:rPr>
      <w:drawing>
        <wp:anchor distT="0" distB="0" distL="114300" distR="114300" simplePos="0" relativeHeight="251659264" behindDoc="1" locked="0" layoutInCell="1" allowOverlap="1" wp14:anchorId="06866841" wp14:editId="310F88A0">
          <wp:simplePos x="0" y="0"/>
          <wp:positionH relativeFrom="margin">
            <wp:posOffset>2526030</wp:posOffset>
          </wp:positionH>
          <wp:positionV relativeFrom="paragraph">
            <wp:posOffset>-142875</wp:posOffset>
          </wp:positionV>
          <wp:extent cx="541867" cy="763719"/>
          <wp:effectExtent l="0" t="0" r="0" b="0"/>
          <wp:wrapNone/>
          <wp:docPr id="5" name="Imagen 5"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930346" name="Imagen 5" descr="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r="2917"/>
                  <a:stretch>
                    <a:fillRect/>
                  </a:stretch>
                </pic:blipFill>
                <pic:spPr bwMode="auto">
                  <a:xfrm>
                    <a:off x="0" y="0"/>
                    <a:ext cx="541867" cy="7637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B0C87C" w14:textId="77777777" w:rsidR="009170C7" w:rsidRDefault="009170C7">
    <w:pPr>
      <w:pStyle w:val="Encabezado"/>
    </w:pPr>
  </w:p>
  <w:p w14:paraId="26F13565" w14:textId="4AA138C3" w:rsidR="009170C7" w:rsidRDefault="009170C7">
    <w:pPr>
      <w:pStyle w:val="Encabezado"/>
    </w:pPr>
  </w:p>
  <w:p w14:paraId="53AC8E10" w14:textId="24B243CF" w:rsidR="009170C7" w:rsidRDefault="009170C7">
    <w:pPr>
      <w:pStyle w:val="Encabezado"/>
    </w:pPr>
  </w:p>
</w:hdr>
</file>

<file path=word/intelligence2.xml><?xml version="1.0" encoding="utf-8"?>
<int2:intelligence xmlns:int2="http://schemas.microsoft.com/office/intelligence/2020/intelligence" xmlns:oel="http://schemas.microsoft.com/office/2019/extlst">
  <int2:observations>
    <int2:textHash int2:hashCode="l36dYta3Y/V/ij" int2:id="3R7IHVXc">
      <int2:state int2:value="Rejected" int2:type="spell"/>
    </int2:textHash>
    <int2:textHash int2:hashCode="f7u3wjd+hnQ9pj" int2:id="CvMsfihj">
      <int2:state int2:value="Rejected" int2:type="spell"/>
    </int2:textHash>
    <int2:textHash int2:hashCode="27EJ5DBZacXRTh" int2:id="LwnOFIJe">
      <int2:state int2:value="Rejected" int2:type="spell"/>
    </int2:textHash>
    <int2:textHash int2:hashCode="eg9ABEcrxrDE0R" int2:id="hvhGLLse">
      <int2:state int2:value="Rejected" int2:type="spell"/>
    </int2:textHash>
    <int2:textHash int2:hashCode="mFaRYjL8SsGfUk" int2:id="qttawLDs">
      <int2:state int2:value="Rejected" int2:type="spell"/>
    </int2:textHash>
    <int2:textHash int2:hashCode="x4wpeLKHq+3Ecz" int2:id="rJYWCYI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7601"/>
    <w:multiLevelType w:val="multilevel"/>
    <w:tmpl w:val="B80A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6368E"/>
    <w:multiLevelType w:val="hybridMultilevel"/>
    <w:tmpl w:val="63507A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CE54D7C"/>
    <w:multiLevelType w:val="hybridMultilevel"/>
    <w:tmpl w:val="F900F82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0B36187"/>
    <w:multiLevelType w:val="multilevel"/>
    <w:tmpl w:val="BBC04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AE576E"/>
    <w:multiLevelType w:val="hybridMultilevel"/>
    <w:tmpl w:val="AAA059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9B15FE2"/>
    <w:multiLevelType w:val="hybridMultilevel"/>
    <w:tmpl w:val="FFFFFFFF"/>
    <w:lvl w:ilvl="0" w:tplc="BA1EAFA6">
      <w:start w:val="1"/>
      <w:numFmt w:val="bullet"/>
      <w:lvlText w:val=""/>
      <w:lvlJc w:val="left"/>
      <w:pPr>
        <w:ind w:left="720" w:hanging="360"/>
      </w:pPr>
      <w:rPr>
        <w:rFonts w:ascii="Symbol" w:hAnsi="Symbol" w:hint="default"/>
      </w:rPr>
    </w:lvl>
    <w:lvl w:ilvl="1" w:tplc="EAA8D0BA">
      <w:start w:val="1"/>
      <w:numFmt w:val="bullet"/>
      <w:lvlText w:val="o"/>
      <w:lvlJc w:val="left"/>
      <w:pPr>
        <w:ind w:left="1440" w:hanging="360"/>
      </w:pPr>
      <w:rPr>
        <w:rFonts w:ascii="Courier New" w:hAnsi="Courier New" w:hint="default"/>
      </w:rPr>
    </w:lvl>
    <w:lvl w:ilvl="2" w:tplc="09C076E2">
      <w:start w:val="1"/>
      <w:numFmt w:val="bullet"/>
      <w:lvlText w:val=""/>
      <w:lvlJc w:val="left"/>
      <w:pPr>
        <w:ind w:left="2160" w:hanging="360"/>
      </w:pPr>
      <w:rPr>
        <w:rFonts w:ascii="Wingdings" w:hAnsi="Wingdings" w:hint="default"/>
      </w:rPr>
    </w:lvl>
    <w:lvl w:ilvl="3" w:tplc="23DE4F70">
      <w:start w:val="1"/>
      <w:numFmt w:val="bullet"/>
      <w:lvlText w:val=""/>
      <w:lvlJc w:val="left"/>
      <w:pPr>
        <w:ind w:left="2880" w:hanging="360"/>
      </w:pPr>
      <w:rPr>
        <w:rFonts w:ascii="Symbol" w:hAnsi="Symbol" w:hint="default"/>
      </w:rPr>
    </w:lvl>
    <w:lvl w:ilvl="4" w:tplc="EE9A137C">
      <w:start w:val="1"/>
      <w:numFmt w:val="bullet"/>
      <w:lvlText w:val="o"/>
      <w:lvlJc w:val="left"/>
      <w:pPr>
        <w:ind w:left="3600" w:hanging="360"/>
      </w:pPr>
      <w:rPr>
        <w:rFonts w:ascii="Courier New" w:hAnsi="Courier New" w:hint="default"/>
      </w:rPr>
    </w:lvl>
    <w:lvl w:ilvl="5" w:tplc="CC1872EC">
      <w:start w:val="1"/>
      <w:numFmt w:val="bullet"/>
      <w:lvlText w:val=""/>
      <w:lvlJc w:val="left"/>
      <w:pPr>
        <w:ind w:left="4320" w:hanging="360"/>
      </w:pPr>
      <w:rPr>
        <w:rFonts w:ascii="Wingdings" w:hAnsi="Wingdings" w:hint="default"/>
      </w:rPr>
    </w:lvl>
    <w:lvl w:ilvl="6" w:tplc="4C2456C8">
      <w:start w:val="1"/>
      <w:numFmt w:val="bullet"/>
      <w:lvlText w:val=""/>
      <w:lvlJc w:val="left"/>
      <w:pPr>
        <w:ind w:left="5040" w:hanging="360"/>
      </w:pPr>
      <w:rPr>
        <w:rFonts w:ascii="Symbol" w:hAnsi="Symbol" w:hint="default"/>
      </w:rPr>
    </w:lvl>
    <w:lvl w:ilvl="7" w:tplc="932ECC68">
      <w:start w:val="1"/>
      <w:numFmt w:val="bullet"/>
      <w:lvlText w:val="o"/>
      <w:lvlJc w:val="left"/>
      <w:pPr>
        <w:ind w:left="5760" w:hanging="360"/>
      </w:pPr>
      <w:rPr>
        <w:rFonts w:ascii="Courier New" w:hAnsi="Courier New" w:hint="default"/>
      </w:rPr>
    </w:lvl>
    <w:lvl w:ilvl="8" w:tplc="5A2CC254">
      <w:start w:val="1"/>
      <w:numFmt w:val="bullet"/>
      <w:lvlText w:val=""/>
      <w:lvlJc w:val="left"/>
      <w:pPr>
        <w:ind w:left="6480" w:hanging="360"/>
      </w:pPr>
      <w:rPr>
        <w:rFonts w:ascii="Wingdings" w:hAnsi="Wingdings" w:hint="default"/>
      </w:rPr>
    </w:lvl>
  </w:abstractNum>
  <w:abstractNum w:abstractNumId="6" w15:restartNumberingAfterBreak="0">
    <w:nsid w:val="1F10F8F9"/>
    <w:multiLevelType w:val="hybridMultilevel"/>
    <w:tmpl w:val="FFFFFFFF"/>
    <w:lvl w:ilvl="0" w:tplc="4DD2D796">
      <w:start w:val="1"/>
      <w:numFmt w:val="bullet"/>
      <w:lvlText w:val="·"/>
      <w:lvlJc w:val="left"/>
      <w:pPr>
        <w:ind w:left="720" w:hanging="360"/>
      </w:pPr>
      <w:rPr>
        <w:rFonts w:ascii="Symbol" w:hAnsi="Symbol" w:hint="default"/>
      </w:rPr>
    </w:lvl>
    <w:lvl w:ilvl="1" w:tplc="33189884">
      <w:start w:val="1"/>
      <w:numFmt w:val="bullet"/>
      <w:lvlText w:val="o"/>
      <w:lvlJc w:val="left"/>
      <w:pPr>
        <w:ind w:left="1440" w:hanging="360"/>
      </w:pPr>
      <w:rPr>
        <w:rFonts w:ascii="Courier New" w:hAnsi="Courier New" w:hint="default"/>
      </w:rPr>
    </w:lvl>
    <w:lvl w:ilvl="2" w:tplc="82E29FB6">
      <w:start w:val="1"/>
      <w:numFmt w:val="bullet"/>
      <w:lvlText w:val=""/>
      <w:lvlJc w:val="left"/>
      <w:pPr>
        <w:ind w:left="2160" w:hanging="360"/>
      </w:pPr>
      <w:rPr>
        <w:rFonts w:ascii="Wingdings" w:hAnsi="Wingdings" w:hint="default"/>
      </w:rPr>
    </w:lvl>
    <w:lvl w:ilvl="3" w:tplc="89589568">
      <w:start w:val="1"/>
      <w:numFmt w:val="bullet"/>
      <w:lvlText w:val=""/>
      <w:lvlJc w:val="left"/>
      <w:pPr>
        <w:ind w:left="2880" w:hanging="360"/>
      </w:pPr>
      <w:rPr>
        <w:rFonts w:ascii="Symbol" w:hAnsi="Symbol" w:hint="default"/>
      </w:rPr>
    </w:lvl>
    <w:lvl w:ilvl="4" w:tplc="549C7B38">
      <w:start w:val="1"/>
      <w:numFmt w:val="bullet"/>
      <w:lvlText w:val="o"/>
      <w:lvlJc w:val="left"/>
      <w:pPr>
        <w:ind w:left="3600" w:hanging="360"/>
      </w:pPr>
      <w:rPr>
        <w:rFonts w:ascii="Courier New" w:hAnsi="Courier New" w:hint="default"/>
      </w:rPr>
    </w:lvl>
    <w:lvl w:ilvl="5" w:tplc="71FC2FFA">
      <w:start w:val="1"/>
      <w:numFmt w:val="bullet"/>
      <w:lvlText w:val=""/>
      <w:lvlJc w:val="left"/>
      <w:pPr>
        <w:ind w:left="4320" w:hanging="360"/>
      </w:pPr>
      <w:rPr>
        <w:rFonts w:ascii="Wingdings" w:hAnsi="Wingdings" w:hint="default"/>
      </w:rPr>
    </w:lvl>
    <w:lvl w:ilvl="6" w:tplc="DC2E76F6">
      <w:start w:val="1"/>
      <w:numFmt w:val="bullet"/>
      <w:lvlText w:val=""/>
      <w:lvlJc w:val="left"/>
      <w:pPr>
        <w:ind w:left="5040" w:hanging="360"/>
      </w:pPr>
      <w:rPr>
        <w:rFonts w:ascii="Symbol" w:hAnsi="Symbol" w:hint="default"/>
      </w:rPr>
    </w:lvl>
    <w:lvl w:ilvl="7" w:tplc="2E12B880">
      <w:start w:val="1"/>
      <w:numFmt w:val="bullet"/>
      <w:lvlText w:val="o"/>
      <w:lvlJc w:val="left"/>
      <w:pPr>
        <w:ind w:left="5760" w:hanging="360"/>
      </w:pPr>
      <w:rPr>
        <w:rFonts w:ascii="Courier New" w:hAnsi="Courier New" w:hint="default"/>
      </w:rPr>
    </w:lvl>
    <w:lvl w:ilvl="8" w:tplc="7504AAA2">
      <w:start w:val="1"/>
      <w:numFmt w:val="bullet"/>
      <w:lvlText w:val=""/>
      <w:lvlJc w:val="left"/>
      <w:pPr>
        <w:ind w:left="6480" w:hanging="360"/>
      </w:pPr>
      <w:rPr>
        <w:rFonts w:ascii="Wingdings" w:hAnsi="Wingdings" w:hint="default"/>
      </w:rPr>
    </w:lvl>
  </w:abstractNum>
  <w:abstractNum w:abstractNumId="7" w15:restartNumberingAfterBreak="0">
    <w:nsid w:val="2D990197"/>
    <w:multiLevelType w:val="hybridMultilevel"/>
    <w:tmpl w:val="6674C7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2FB74A6"/>
    <w:multiLevelType w:val="hybridMultilevel"/>
    <w:tmpl w:val="7CAEAB5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9" w15:restartNumberingAfterBreak="0">
    <w:nsid w:val="33C553F8"/>
    <w:multiLevelType w:val="hybridMultilevel"/>
    <w:tmpl w:val="435210C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34AE29DE"/>
    <w:multiLevelType w:val="multilevel"/>
    <w:tmpl w:val="3A74F4C8"/>
    <w:lvl w:ilvl="0">
      <w:start w:val="1"/>
      <w:numFmt w:val="decimal"/>
      <w:lvlText w:val="%1."/>
      <w:lvlJc w:val="left"/>
      <w:pPr>
        <w:ind w:left="360" w:hanging="360"/>
      </w:pPr>
      <w:rPr>
        <w:rFonts w:hint="default"/>
      </w:rPr>
    </w:lvl>
    <w:lvl w:ilvl="1">
      <w:start w:val="1"/>
      <w:numFmt w:val="decimal"/>
      <w:lvlText w:val="%1.%2"/>
      <w:lvlJc w:val="left"/>
      <w:pPr>
        <w:ind w:left="294" w:hanging="360"/>
      </w:pPr>
    </w:lvl>
    <w:lvl w:ilvl="2">
      <w:start w:val="1"/>
      <w:numFmt w:val="decimal"/>
      <w:isLgl/>
      <w:lvlText w:val="%1.%2.%3"/>
      <w:lvlJc w:val="left"/>
      <w:pPr>
        <w:ind w:left="1014" w:hanging="720"/>
      </w:pPr>
      <w:rPr>
        <w:rFonts w:hint="default"/>
      </w:rPr>
    </w:lvl>
    <w:lvl w:ilvl="3">
      <w:start w:val="1"/>
      <w:numFmt w:val="decimal"/>
      <w:isLgl/>
      <w:lvlText w:val="%1.%2.%3.%4"/>
      <w:lvlJc w:val="left"/>
      <w:pPr>
        <w:ind w:left="1374"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454" w:hanging="1080"/>
      </w:pPr>
      <w:rPr>
        <w:rFonts w:hint="default"/>
      </w:rPr>
    </w:lvl>
    <w:lvl w:ilvl="6">
      <w:start w:val="1"/>
      <w:numFmt w:val="decimal"/>
      <w:isLgl/>
      <w:lvlText w:val="%1.%2.%3.%4.%5.%6.%7"/>
      <w:lvlJc w:val="left"/>
      <w:pPr>
        <w:ind w:left="3174" w:hanging="1440"/>
      </w:pPr>
      <w:rPr>
        <w:rFonts w:hint="default"/>
      </w:rPr>
    </w:lvl>
    <w:lvl w:ilvl="7">
      <w:start w:val="1"/>
      <w:numFmt w:val="decimal"/>
      <w:isLgl/>
      <w:lvlText w:val="%1.%2.%3.%4.%5.%6.%7.%8"/>
      <w:lvlJc w:val="left"/>
      <w:pPr>
        <w:ind w:left="3534" w:hanging="1440"/>
      </w:pPr>
      <w:rPr>
        <w:rFonts w:hint="default"/>
      </w:rPr>
    </w:lvl>
    <w:lvl w:ilvl="8">
      <w:start w:val="1"/>
      <w:numFmt w:val="decimal"/>
      <w:isLgl/>
      <w:lvlText w:val="%1.%2.%3.%4.%5.%6.%7.%8.%9"/>
      <w:lvlJc w:val="left"/>
      <w:pPr>
        <w:ind w:left="4254" w:hanging="1800"/>
      </w:pPr>
      <w:rPr>
        <w:rFonts w:hint="default"/>
      </w:rPr>
    </w:lvl>
  </w:abstractNum>
  <w:abstractNum w:abstractNumId="11" w15:restartNumberingAfterBreak="0">
    <w:nsid w:val="3BFC6FCD"/>
    <w:multiLevelType w:val="multilevel"/>
    <w:tmpl w:val="BBC04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67B55E"/>
    <w:multiLevelType w:val="hybridMultilevel"/>
    <w:tmpl w:val="FFFFFFFF"/>
    <w:lvl w:ilvl="0" w:tplc="B8D07490">
      <w:start w:val="1"/>
      <w:numFmt w:val="bullet"/>
      <w:lvlText w:val="·"/>
      <w:lvlJc w:val="left"/>
      <w:pPr>
        <w:ind w:left="720" w:hanging="360"/>
      </w:pPr>
      <w:rPr>
        <w:rFonts w:ascii="Symbol" w:hAnsi="Symbol" w:hint="default"/>
      </w:rPr>
    </w:lvl>
    <w:lvl w:ilvl="1" w:tplc="2B920940">
      <w:start w:val="1"/>
      <w:numFmt w:val="bullet"/>
      <w:lvlText w:val="o"/>
      <w:lvlJc w:val="left"/>
      <w:pPr>
        <w:ind w:left="1440" w:hanging="360"/>
      </w:pPr>
      <w:rPr>
        <w:rFonts w:ascii="Courier New" w:hAnsi="Courier New" w:hint="default"/>
      </w:rPr>
    </w:lvl>
    <w:lvl w:ilvl="2" w:tplc="578ABC16">
      <w:start w:val="1"/>
      <w:numFmt w:val="bullet"/>
      <w:lvlText w:val=""/>
      <w:lvlJc w:val="left"/>
      <w:pPr>
        <w:ind w:left="2160" w:hanging="360"/>
      </w:pPr>
      <w:rPr>
        <w:rFonts w:ascii="Wingdings" w:hAnsi="Wingdings" w:hint="default"/>
      </w:rPr>
    </w:lvl>
    <w:lvl w:ilvl="3" w:tplc="0DB8D0E2">
      <w:start w:val="1"/>
      <w:numFmt w:val="bullet"/>
      <w:lvlText w:val=""/>
      <w:lvlJc w:val="left"/>
      <w:pPr>
        <w:ind w:left="2880" w:hanging="360"/>
      </w:pPr>
      <w:rPr>
        <w:rFonts w:ascii="Symbol" w:hAnsi="Symbol" w:hint="default"/>
      </w:rPr>
    </w:lvl>
    <w:lvl w:ilvl="4" w:tplc="F724D5F0">
      <w:start w:val="1"/>
      <w:numFmt w:val="bullet"/>
      <w:lvlText w:val="o"/>
      <w:lvlJc w:val="left"/>
      <w:pPr>
        <w:ind w:left="3600" w:hanging="360"/>
      </w:pPr>
      <w:rPr>
        <w:rFonts w:ascii="Courier New" w:hAnsi="Courier New" w:hint="default"/>
      </w:rPr>
    </w:lvl>
    <w:lvl w:ilvl="5" w:tplc="E090ABC4">
      <w:start w:val="1"/>
      <w:numFmt w:val="bullet"/>
      <w:lvlText w:val=""/>
      <w:lvlJc w:val="left"/>
      <w:pPr>
        <w:ind w:left="4320" w:hanging="360"/>
      </w:pPr>
      <w:rPr>
        <w:rFonts w:ascii="Wingdings" w:hAnsi="Wingdings" w:hint="default"/>
      </w:rPr>
    </w:lvl>
    <w:lvl w:ilvl="6" w:tplc="13F046B8">
      <w:start w:val="1"/>
      <w:numFmt w:val="bullet"/>
      <w:lvlText w:val=""/>
      <w:lvlJc w:val="left"/>
      <w:pPr>
        <w:ind w:left="5040" w:hanging="360"/>
      </w:pPr>
      <w:rPr>
        <w:rFonts w:ascii="Symbol" w:hAnsi="Symbol" w:hint="default"/>
      </w:rPr>
    </w:lvl>
    <w:lvl w:ilvl="7" w:tplc="62A6F9A8">
      <w:start w:val="1"/>
      <w:numFmt w:val="bullet"/>
      <w:lvlText w:val="o"/>
      <w:lvlJc w:val="left"/>
      <w:pPr>
        <w:ind w:left="5760" w:hanging="360"/>
      </w:pPr>
      <w:rPr>
        <w:rFonts w:ascii="Courier New" w:hAnsi="Courier New" w:hint="default"/>
      </w:rPr>
    </w:lvl>
    <w:lvl w:ilvl="8" w:tplc="4AFE4C94">
      <w:start w:val="1"/>
      <w:numFmt w:val="bullet"/>
      <w:lvlText w:val=""/>
      <w:lvlJc w:val="left"/>
      <w:pPr>
        <w:ind w:left="6480" w:hanging="360"/>
      </w:pPr>
      <w:rPr>
        <w:rFonts w:ascii="Wingdings" w:hAnsi="Wingdings" w:hint="default"/>
      </w:rPr>
    </w:lvl>
  </w:abstractNum>
  <w:abstractNum w:abstractNumId="13" w15:restartNumberingAfterBreak="0">
    <w:nsid w:val="40F1275F"/>
    <w:multiLevelType w:val="hybridMultilevel"/>
    <w:tmpl w:val="6D4095FC"/>
    <w:lvl w:ilvl="0" w:tplc="080A0001">
      <w:start w:val="1"/>
      <w:numFmt w:val="bullet"/>
      <w:lvlText w:val=""/>
      <w:lvlJc w:val="left"/>
      <w:pPr>
        <w:ind w:left="108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41615C4D"/>
    <w:multiLevelType w:val="hybridMultilevel"/>
    <w:tmpl w:val="4840190C"/>
    <w:lvl w:ilvl="0" w:tplc="5BC2B7C2">
      <w:start w:val="1"/>
      <w:numFmt w:val="decimal"/>
      <w:lvlText w:val="%1."/>
      <w:lvlJc w:val="left"/>
      <w:pPr>
        <w:ind w:left="720" w:hanging="360"/>
      </w:pPr>
      <w:rPr>
        <w:rFonts w:hint="default"/>
        <w:color w:val="000000" w:themeColor="text1"/>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0521DE5"/>
    <w:multiLevelType w:val="hybridMultilevel"/>
    <w:tmpl w:val="3F4CC8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4853FF"/>
    <w:multiLevelType w:val="hybridMultilevel"/>
    <w:tmpl w:val="FFFFFFFF"/>
    <w:lvl w:ilvl="0" w:tplc="B0426B28">
      <w:start w:val="1"/>
      <w:numFmt w:val="bullet"/>
      <w:lvlText w:val=""/>
      <w:lvlJc w:val="left"/>
      <w:pPr>
        <w:ind w:left="720" w:hanging="360"/>
      </w:pPr>
      <w:rPr>
        <w:rFonts w:ascii="Symbol" w:hAnsi="Symbol" w:hint="default"/>
      </w:rPr>
    </w:lvl>
    <w:lvl w:ilvl="1" w:tplc="558E9B10">
      <w:start w:val="1"/>
      <w:numFmt w:val="bullet"/>
      <w:lvlText w:val="o"/>
      <w:lvlJc w:val="left"/>
      <w:pPr>
        <w:ind w:left="1440" w:hanging="360"/>
      </w:pPr>
      <w:rPr>
        <w:rFonts w:ascii="Courier New" w:hAnsi="Courier New" w:hint="default"/>
      </w:rPr>
    </w:lvl>
    <w:lvl w:ilvl="2" w:tplc="4F1E8DBC">
      <w:start w:val="1"/>
      <w:numFmt w:val="bullet"/>
      <w:lvlText w:val=""/>
      <w:lvlJc w:val="left"/>
      <w:pPr>
        <w:ind w:left="2160" w:hanging="360"/>
      </w:pPr>
      <w:rPr>
        <w:rFonts w:ascii="Wingdings" w:hAnsi="Wingdings" w:hint="default"/>
      </w:rPr>
    </w:lvl>
    <w:lvl w:ilvl="3" w:tplc="E04AF08A">
      <w:start w:val="1"/>
      <w:numFmt w:val="bullet"/>
      <w:lvlText w:val=""/>
      <w:lvlJc w:val="left"/>
      <w:pPr>
        <w:ind w:left="2880" w:hanging="360"/>
      </w:pPr>
      <w:rPr>
        <w:rFonts w:ascii="Symbol" w:hAnsi="Symbol" w:hint="default"/>
      </w:rPr>
    </w:lvl>
    <w:lvl w:ilvl="4" w:tplc="9BBE4B80">
      <w:start w:val="1"/>
      <w:numFmt w:val="bullet"/>
      <w:lvlText w:val="o"/>
      <w:lvlJc w:val="left"/>
      <w:pPr>
        <w:ind w:left="3600" w:hanging="360"/>
      </w:pPr>
      <w:rPr>
        <w:rFonts w:ascii="Courier New" w:hAnsi="Courier New" w:hint="default"/>
      </w:rPr>
    </w:lvl>
    <w:lvl w:ilvl="5" w:tplc="C8B67280">
      <w:start w:val="1"/>
      <w:numFmt w:val="bullet"/>
      <w:lvlText w:val=""/>
      <w:lvlJc w:val="left"/>
      <w:pPr>
        <w:ind w:left="4320" w:hanging="360"/>
      </w:pPr>
      <w:rPr>
        <w:rFonts w:ascii="Wingdings" w:hAnsi="Wingdings" w:hint="default"/>
      </w:rPr>
    </w:lvl>
    <w:lvl w:ilvl="6" w:tplc="F4E22D78">
      <w:start w:val="1"/>
      <w:numFmt w:val="bullet"/>
      <w:lvlText w:val=""/>
      <w:lvlJc w:val="left"/>
      <w:pPr>
        <w:ind w:left="5040" w:hanging="360"/>
      </w:pPr>
      <w:rPr>
        <w:rFonts w:ascii="Symbol" w:hAnsi="Symbol" w:hint="default"/>
      </w:rPr>
    </w:lvl>
    <w:lvl w:ilvl="7" w:tplc="AEF6C4CA">
      <w:start w:val="1"/>
      <w:numFmt w:val="bullet"/>
      <w:lvlText w:val="o"/>
      <w:lvlJc w:val="left"/>
      <w:pPr>
        <w:ind w:left="5760" w:hanging="360"/>
      </w:pPr>
      <w:rPr>
        <w:rFonts w:ascii="Courier New" w:hAnsi="Courier New" w:hint="default"/>
      </w:rPr>
    </w:lvl>
    <w:lvl w:ilvl="8" w:tplc="10CA822A">
      <w:start w:val="1"/>
      <w:numFmt w:val="bullet"/>
      <w:lvlText w:val=""/>
      <w:lvlJc w:val="left"/>
      <w:pPr>
        <w:ind w:left="6480" w:hanging="360"/>
      </w:pPr>
      <w:rPr>
        <w:rFonts w:ascii="Wingdings" w:hAnsi="Wingdings" w:hint="default"/>
      </w:rPr>
    </w:lvl>
  </w:abstractNum>
  <w:abstractNum w:abstractNumId="17" w15:restartNumberingAfterBreak="0">
    <w:nsid w:val="55BC3416"/>
    <w:multiLevelType w:val="hybridMultilevel"/>
    <w:tmpl w:val="FFFFFFFF"/>
    <w:lvl w:ilvl="0" w:tplc="B17A1A88">
      <w:start w:val="1"/>
      <w:numFmt w:val="decimal"/>
      <w:lvlText w:val="%1."/>
      <w:lvlJc w:val="left"/>
      <w:pPr>
        <w:ind w:left="720" w:hanging="360"/>
      </w:pPr>
    </w:lvl>
    <w:lvl w:ilvl="1" w:tplc="262002C8">
      <w:start w:val="1"/>
      <w:numFmt w:val="lowerLetter"/>
      <w:lvlText w:val="%2."/>
      <w:lvlJc w:val="left"/>
      <w:pPr>
        <w:ind w:left="1440" w:hanging="360"/>
      </w:pPr>
    </w:lvl>
    <w:lvl w:ilvl="2" w:tplc="06F2C8F2">
      <w:start w:val="1"/>
      <w:numFmt w:val="lowerRoman"/>
      <w:lvlText w:val="%3."/>
      <w:lvlJc w:val="right"/>
      <w:pPr>
        <w:ind w:left="2160" w:hanging="180"/>
      </w:pPr>
    </w:lvl>
    <w:lvl w:ilvl="3" w:tplc="9EC21A76">
      <w:start w:val="1"/>
      <w:numFmt w:val="decimal"/>
      <w:lvlText w:val="%4."/>
      <w:lvlJc w:val="left"/>
      <w:pPr>
        <w:ind w:left="2880" w:hanging="360"/>
      </w:pPr>
    </w:lvl>
    <w:lvl w:ilvl="4" w:tplc="AB7AEF4E">
      <w:start w:val="1"/>
      <w:numFmt w:val="lowerLetter"/>
      <w:lvlText w:val="%5."/>
      <w:lvlJc w:val="left"/>
      <w:pPr>
        <w:ind w:left="3600" w:hanging="360"/>
      </w:pPr>
    </w:lvl>
    <w:lvl w:ilvl="5" w:tplc="271A6278">
      <w:start w:val="1"/>
      <w:numFmt w:val="lowerRoman"/>
      <w:lvlText w:val="%6."/>
      <w:lvlJc w:val="right"/>
      <w:pPr>
        <w:ind w:left="4320" w:hanging="180"/>
      </w:pPr>
    </w:lvl>
    <w:lvl w:ilvl="6" w:tplc="0088CE82">
      <w:start w:val="1"/>
      <w:numFmt w:val="decimal"/>
      <w:lvlText w:val="%7."/>
      <w:lvlJc w:val="left"/>
      <w:pPr>
        <w:ind w:left="5040" w:hanging="360"/>
      </w:pPr>
    </w:lvl>
    <w:lvl w:ilvl="7" w:tplc="DB446664">
      <w:start w:val="1"/>
      <w:numFmt w:val="lowerLetter"/>
      <w:lvlText w:val="%8."/>
      <w:lvlJc w:val="left"/>
      <w:pPr>
        <w:ind w:left="5760" w:hanging="360"/>
      </w:pPr>
    </w:lvl>
    <w:lvl w:ilvl="8" w:tplc="60786414">
      <w:start w:val="1"/>
      <w:numFmt w:val="lowerRoman"/>
      <w:lvlText w:val="%9."/>
      <w:lvlJc w:val="right"/>
      <w:pPr>
        <w:ind w:left="6480" w:hanging="180"/>
      </w:pPr>
    </w:lvl>
  </w:abstractNum>
  <w:abstractNum w:abstractNumId="18" w15:restartNumberingAfterBreak="0">
    <w:nsid w:val="5AE14290"/>
    <w:multiLevelType w:val="hybridMultilevel"/>
    <w:tmpl w:val="B2502F7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5D333A6E"/>
    <w:multiLevelType w:val="multilevel"/>
    <w:tmpl w:val="3A74F4C8"/>
    <w:lvl w:ilvl="0">
      <w:start w:val="1"/>
      <w:numFmt w:val="decimal"/>
      <w:lvlText w:val="%1."/>
      <w:lvlJc w:val="left"/>
      <w:pPr>
        <w:ind w:left="360" w:hanging="360"/>
      </w:pPr>
      <w:rPr>
        <w:rFonts w:hint="default"/>
      </w:rPr>
    </w:lvl>
    <w:lvl w:ilvl="1">
      <w:start w:val="1"/>
      <w:numFmt w:val="decimal"/>
      <w:lvlText w:val="%1.%2"/>
      <w:lvlJc w:val="left"/>
      <w:pPr>
        <w:ind w:left="294" w:hanging="360"/>
      </w:pPr>
    </w:lvl>
    <w:lvl w:ilvl="2">
      <w:start w:val="1"/>
      <w:numFmt w:val="decimal"/>
      <w:isLgl/>
      <w:lvlText w:val="%1.%2.%3"/>
      <w:lvlJc w:val="left"/>
      <w:pPr>
        <w:ind w:left="1014" w:hanging="720"/>
      </w:pPr>
      <w:rPr>
        <w:rFonts w:hint="default"/>
      </w:rPr>
    </w:lvl>
    <w:lvl w:ilvl="3">
      <w:start w:val="1"/>
      <w:numFmt w:val="decimal"/>
      <w:isLgl/>
      <w:lvlText w:val="%1.%2.%3.%4"/>
      <w:lvlJc w:val="left"/>
      <w:pPr>
        <w:ind w:left="1374"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454" w:hanging="1080"/>
      </w:pPr>
      <w:rPr>
        <w:rFonts w:hint="default"/>
      </w:rPr>
    </w:lvl>
    <w:lvl w:ilvl="6">
      <w:start w:val="1"/>
      <w:numFmt w:val="decimal"/>
      <w:isLgl/>
      <w:lvlText w:val="%1.%2.%3.%4.%5.%6.%7"/>
      <w:lvlJc w:val="left"/>
      <w:pPr>
        <w:ind w:left="3174" w:hanging="1440"/>
      </w:pPr>
      <w:rPr>
        <w:rFonts w:hint="default"/>
      </w:rPr>
    </w:lvl>
    <w:lvl w:ilvl="7">
      <w:start w:val="1"/>
      <w:numFmt w:val="decimal"/>
      <w:isLgl/>
      <w:lvlText w:val="%1.%2.%3.%4.%5.%6.%7.%8"/>
      <w:lvlJc w:val="left"/>
      <w:pPr>
        <w:ind w:left="3534" w:hanging="1440"/>
      </w:pPr>
      <w:rPr>
        <w:rFonts w:hint="default"/>
      </w:rPr>
    </w:lvl>
    <w:lvl w:ilvl="8">
      <w:start w:val="1"/>
      <w:numFmt w:val="decimal"/>
      <w:isLgl/>
      <w:lvlText w:val="%1.%2.%3.%4.%5.%6.%7.%8.%9"/>
      <w:lvlJc w:val="left"/>
      <w:pPr>
        <w:ind w:left="4254" w:hanging="1800"/>
      </w:pPr>
      <w:rPr>
        <w:rFonts w:hint="default"/>
      </w:rPr>
    </w:lvl>
  </w:abstractNum>
  <w:abstractNum w:abstractNumId="20" w15:restartNumberingAfterBreak="0">
    <w:nsid w:val="6036D6BA"/>
    <w:multiLevelType w:val="hybridMultilevel"/>
    <w:tmpl w:val="FFFFFFFF"/>
    <w:lvl w:ilvl="0" w:tplc="54FCC4D8">
      <w:start w:val="1"/>
      <w:numFmt w:val="decimal"/>
      <w:lvlText w:val="%1."/>
      <w:lvlJc w:val="left"/>
      <w:pPr>
        <w:ind w:left="720" w:hanging="360"/>
      </w:pPr>
    </w:lvl>
    <w:lvl w:ilvl="1" w:tplc="334094FE">
      <w:start w:val="1"/>
      <w:numFmt w:val="decimal"/>
      <w:lvlText w:val="%2.6"/>
      <w:lvlJc w:val="left"/>
      <w:pPr>
        <w:ind w:left="1440" w:hanging="360"/>
      </w:pPr>
    </w:lvl>
    <w:lvl w:ilvl="2" w:tplc="790C267C">
      <w:start w:val="1"/>
      <w:numFmt w:val="lowerRoman"/>
      <w:lvlText w:val="%3."/>
      <w:lvlJc w:val="right"/>
      <w:pPr>
        <w:ind w:left="2160" w:hanging="180"/>
      </w:pPr>
    </w:lvl>
    <w:lvl w:ilvl="3" w:tplc="C79642BC">
      <w:start w:val="1"/>
      <w:numFmt w:val="decimal"/>
      <w:lvlText w:val="%4."/>
      <w:lvlJc w:val="left"/>
      <w:pPr>
        <w:ind w:left="2880" w:hanging="360"/>
      </w:pPr>
    </w:lvl>
    <w:lvl w:ilvl="4" w:tplc="A4FE2298">
      <w:start w:val="1"/>
      <w:numFmt w:val="lowerLetter"/>
      <w:lvlText w:val="%5."/>
      <w:lvlJc w:val="left"/>
      <w:pPr>
        <w:ind w:left="3600" w:hanging="360"/>
      </w:pPr>
    </w:lvl>
    <w:lvl w:ilvl="5" w:tplc="A7144764">
      <w:start w:val="1"/>
      <w:numFmt w:val="lowerRoman"/>
      <w:lvlText w:val="%6."/>
      <w:lvlJc w:val="right"/>
      <w:pPr>
        <w:ind w:left="4320" w:hanging="180"/>
      </w:pPr>
    </w:lvl>
    <w:lvl w:ilvl="6" w:tplc="18FA9828">
      <w:start w:val="1"/>
      <w:numFmt w:val="decimal"/>
      <w:lvlText w:val="%7."/>
      <w:lvlJc w:val="left"/>
      <w:pPr>
        <w:ind w:left="5040" w:hanging="360"/>
      </w:pPr>
    </w:lvl>
    <w:lvl w:ilvl="7" w:tplc="C1148CBC">
      <w:start w:val="1"/>
      <w:numFmt w:val="lowerLetter"/>
      <w:lvlText w:val="%8."/>
      <w:lvlJc w:val="left"/>
      <w:pPr>
        <w:ind w:left="5760" w:hanging="360"/>
      </w:pPr>
    </w:lvl>
    <w:lvl w:ilvl="8" w:tplc="9F8C5EB4">
      <w:start w:val="1"/>
      <w:numFmt w:val="lowerRoman"/>
      <w:lvlText w:val="%9."/>
      <w:lvlJc w:val="right"/>
      <w:pPr>
        <w:ind w:left="6480" w:hanging="180"/>
      </w:pPr>
    </w:lvl>
  </w:abstractNum>
  <w:abstractNum w:abstractNumId="21" w15:restartNumberingAfterBreak="0">
    <w:nsid w:val="6CF95D0C"/>
    <w:multiLevelType w:val="hybridMultilevel"/>
    <w:tmpl w:val="D00615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1F88146"/>
    <w:multiLevelType w:val="multilevel"/>
    <w:tmpl w:val="273C79CE"/>
    <w:lvl w:ilvl="0">
      <w:start w:val="1"/>
      <w:numFmt w:val="decimal"/>
      <w:lvlText w:val="%1."/>
      <w:lvlJc w:val="left"/>
      <w:pPr>
        <w:ind w:left="720" w:hanging="360"/>
      </w:pPr>
    </w:lvl>
    <w:lvl w:ilvl="1">
      <w:start w:val="2"/>
      <w:numFmt w:val="decimal"/>
      <w:lvlText w:val="%1.%2"/>
      <w:lvlJc w:val="left"/>
      <w:pPr>
        <w:ind w:left="72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7C7A66C"/>
    <w:multiLevelType w:val="hybridMultilevel"/>
    <w:tmpl w:val="FFFFFFFF"/>
    <w:lvl w:ilvl="0" w:tplc="BE14B226">
      <w:start w:val="1"/>
      <w:numFmt w:val="bullet"/>
      <w:lvlText w:val="Ø"/>
      <w:lvlJc w:val="left"/>
      <w:pPr>
        <w:ind w:left="720" w:hanging="360"/>
      </w:pPr>
      <w:rPr>
        <w:rFonts w:ascii="Wingdings" w:hAnsi="Wingdings" w:hint="default"/>
      </w:rPr>
    </w:lvl>
    <w:lvl w:ilvl="1" w:tplc="10E68EC8">
      <w:start w:val="1"/>
      <w:numFmt w:val="bullet"/>
      <w:lvlText w:val="o"/>
      <w:lvlJc w:val="left"/>
      <w:pPr>
        <w:ind w:left="1440" w:hanging="360"/>
      </w:pPr>
      <w:rPr>
        <w:rFonts w:ascii="Courier New" w:hAnsi="Courier New" w:hint="default"/>
      </w:rPr>
    </w:lvl>
    <w:lvl w:ilvl="2" w:tplc="2864CCD2">
      <w:start w:val="1"/>
      <w:numFmt w:val="bullet"/>
      <w:lvlText w:val=""/>
      <w:lvlJc w:val="left"/>
      <w:pPr>
        <w:ind w:left="2160" w:hanging="360"/>
      </w:pPr>
      <w:rPr>
        <w:rFonts w:ascii="Wingdings" w:hAnsi="Wingdings" w:hint="default"/>
      </w:rPr>
    </w:lvl>
    <w:lvl w:ilvl="3" w:tplc="3A124F9A">
      <w:start w:val="1"/>
      <w:numFmt w:val="bullet"/>
      <w:lvlText w:val=""/>
      <w:lvlJc w:val="left"/>
      <w:pPr>
        <w:ind w:left="2880" w:hanging="360"/>
      </w:pPr>
      <w:rPr>
        <w:rFonts w:ascii="Symbol" w:hAnsi="Symbol" w:hint="default"/>
      </w:rPr>
    </w:lvl>
    <w:lvl w:ilvl="4" w:tplc="5AE8FD1C">
      <w:start w:val="1"/>
      <w:numFmt w:val="bullet"/>
      <w:lvlText w:val="o"/>
      <w:lvlJc w:val="left"/>
      <w:pPr>
        <w:ind w:left="3600" w:hanging="360"/>
      </w:pPr>
      <w:rPr>
        <w:rFonts w:ascii="Courier New" w:hAnsi="Courier New" w:hint="default"/>
      </w:rPr>
    </w:lvl>
    <w:lvl w:ilvl="5" w:tplc="A2E6FFDC">
      <w:start w:val="1"/>
      <w:numFmt w:val="bullet"/>
      <w:lvlText w:val=""/>
      <w:lvlJc w:val="left"/>
      <w:pPr>
        <w:ind w:left="4320" w:hanging="360"/>
      </w:pPr>
      <w:rPr>
        <w:rFonts w:ascii="Wingdings" w:hAnsi="Wingdings" w:hint="default"/>
      </w:rPr>
    </w:lvl>
    <w:lvl w:ilvl="6" w:tplc="5DD08CFE">
      <w:start w:val="1"/>
      <w:numFmt w:val="bullet"/>
      <w:lvlText w:val=""/>
      <w:lvlJc w:val="left"/>
      <w:pPr>
        <w:ind w:left="5040" w:hanging="360"/>
      </w:pPr>
      <w:rPr>
        <w:rFonts w:ascii="Symbol" w:hAnsi="Symbol" w:hint="default"/>
      </w:rPr>
    </w:lvl>
    <w:lvl w:ilvl="7" w:tplc="64B87C52">
      <w:start w:val="1"/>
      <w:numFmt w:val="bullet"/>
      <w:lvlText w:val="o"/>
      <w:lvlJc w:val="left"/>
      <w:pPr>
        <w:ind w:left="5760" w:hanging="360"/>
      </w:pPr>
      <w:rPr>
        <w:rFonts w:ascii="Courier New" w:hAnsi="Courier New" w:hint="default"/>
      </w:rPr>
    </w:lvl>
    <w:lvl w:ilvl="8" w:tplc="FA5C3EFE">
      <w:start w:val="1"/>
      <w:numFmt w:val="bullet"/>
      <w:lvlText w:val=""/>
      <w:lvlJc w:val="left"/>
      <w:pPr>
        <w:ind w:left="6480" w:hanging="360"/>
      </w:pPr>
      <w:rPr>
        <w:rFonts w:ascii="Wingdings" w:hAnsi="Wingdings" w:hint="default"/>
      </w:rPr>
    </w:lvl>
  </w:abstractNum>
  <w:abstractNum w:abstractNumId="24" w15:restartNumberingAfterBreak="0">
    <w:nsid w:val="79504245"/>
    <w:multiLevelType w:val="multilevel"/>
    <w:tmpl w:val="60228C1E"/>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89298664">
    <w:abstractNumId w:val="5"/>
  </w:num>
  <w:num w:numId="2" w16cid:durableId="2061396178">
    <w:abstractNumId w:val="16"/>
  </w:num>
  <w:num w:numId="3" w16cid:durableId="812402908">
    <w:abstractNumId w:val="6"/>
  </w:num>
  <w:num w:numId="4" w16cid:durableId="536623868">
    <w:abstractNumId w:val="12"/>
  </w:num>
  <w:num w:numId="5" w16cid:durableId="1388382272">
    <w:abstractNumId w:val="23"/>
  </w:num>
  <w:num w:numId="6" w16cid:durableId="239948052">
    <w:abstractNumId w:val="20"/>
  </w:num>
  <w:num w:numId="7" w16cid:durableId="1295211092">
    <w:abstractNumId w:val="17"/>
  </w:num>
  <w:num w:numId="8" w16cid:durableId="981302421">
    <w:abstractNumId w:val="22"/>
  </w:num>
  <w:num w:numId="9" w16cid:durableId="1460340560">
    <w:abstractNumId w:val="10"/>
  </w:num>
  <w:num w:numId="10" w16cid:durableId="989679219">
    <w:abstractNumId w:val="8"/>
  </w:num>
  <w:num w:numId="11" w16cid:durableId="1420977786">
    <w:abstractNumId w:val="13"/>
  </w:num>
  <w:num w:numId="12" w16cid:durableId="256014078">
    <w:abstractNumId w:val="0"/>
  </w:num>
  <w:num w:numId="13" w16cid:durableId="1599025293">
    <w:abstractNumId w:val="14"/>
  </w:num>
  <w:num w:numId="14" w16cid:durableId="213548193">
    <w:abstractNumId w:val="4"/>
  </w:num>
  <w:num w:numId="15" w16cid:durableId="953557738">
    <w:abstractNumId w:val="9"/>
  </w:num>
  <w:num w:numId="16" w16cid:durableId="1732800768">
    <w:abstractNumId w:val="15"/>
  </w:num>
  <w:num w:numId="17" w16cid:durableId="1570576537">
    <w:abstractNumId w:val="18"/>
  </w:num>
  <w:num w:numId="18" w16cid:durableId="800270915">
    <w:abstractNumId w:val="1"/>
  </w:num>
  <w:num w:numId="19" w16cid:durableId="670372710">
    <w:abstractNumId w:val="21"/>
  </w:num>
  <w:num w:numId="20" w16cid:durableId="1323703438">
    <w:abstractNumId w:val="7"/>
  </w:num>
  <w:num w:numId="21" w16cid:durableId="1960381366">
    <w:abstractNumId w:val="24"/>
  </w:num>
  <w:num w:numId="22" w16cid:durableId="1028217197">
    <w:abstractNumId w:val="2"/>
  </w:num>
  <w:num w:numId="23" w16cid:durableId="199980749">
    <w:abstractNumId w:val="11"/>
  </w:num>
  <w:num w:numId="24" w16cid:durableId="2111966188">
    <w:abstractNumId w:val="3"/>
  </w:num>
  <w:num w:numId="25" w16cid:durableId="128576849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AE0"/>
    <w:rsid w:val="000007AE"/>
    <w:rsid w:val="00001A29"/>
    <w:rsid w:val="00003BDD"/>
    <w:rsid w:val="00004905"/>
    <w:rsid w:val="000067B3"/>
    <w:rsid w:val="0001027C"/>
    <w:rsid w:val="0001205A"/>
    <w:rsid w:val="0001359C"/>
    <w:rsid w:val="000149FB"/>
    <w:rsid w:val="00016A29"/>
    <w:rsid w:val="0002194D"/>
    <w:rsid w:val="00023E8D"/>
    <w:rsid w:val="00024A4D"/>
    <w:rsid w:val="00027656"/>
    <w:rsid w:val="00041F7F"/>
    <w:rsid w:val="00045103"/>
    <w:rsid w:val="00050F56"/>
    <w:rsid w:val="00050F77"/>
    <w:rsid w:val="00052DDE"/>
    <w:rsid w:val="00055158"/>
    <w:rsid w:val="00057AD1"/>
    <w:rsid w:val="000605F0"/>
    <w:rsid w:val="000622F0"/>
    <w:rsid w:val="0006330A"/>
    <w:rsid w:val="00066BB2"/>
    <w:rsid w:val="00066D23"/>
    <w:rsid w:val="000675B7"/>
    <w:rsid w:val="00067619"/>
    <w:rsid w:val="00070471"/>
    <w:rsid w:val="00071696"/>
    <w:rsid w:val="000752BB"/>
    <w:rsid w:val="0007604D"/>
    <w:rsid w:val="0007677A"/>
    <w:rsid w:val="000771E3"/>
    <w:rsid w:val="00081DDD"/>
    <w:rsid w:val="000821A7"/>
    <w:rsid w:val="00082B8F"/>
    <w:rsid w:val="0009034C"/>
    <w:rsid w:val="00091A35"/>
    <w:rsid w:val="00094C9A"/>
    <w:rsid w:val="00095D79"/>
    <w:rsid w:val="00096F77"/>
    <w:rsid w:val="000A01E8"/>
    <w:rsid w:val="000A06C2"/>
    <w:rsid w:val="000A0E03"/>
    <w:rsid w:val="000A3A65"/>
    <w:rsid w:val="000A5809"/>
    <w:rsid w:val="000A7025"/>
    <w:rsid w:val="000A70D2"/>
    <w:rsid w:val="000A745F"/>
    <w:rsid w:val="000B0A05"/>
    <w:rsid w:val="000B0B5B"/>
    <w:rsid w:val="000B188D"/>
    <w:rsid w:val="000B2309"/>
    <w:rsid w:val="000B3246"/>
    <w:rsid w:val="000B4195"/>
    <w:rsid w:val="000B4925"/>
    <w:rsid w:val="000B5BDD"/>
    <w:rsid w:val="000B7ED4"/>
    <w:rsid w:val="000C434D"/>
    <w:rsid w:val="000C4AE0"/>
    <w:rsid w:val="000C4AF1"/>
    <w:rsid w:val="000C5D71"/>
    <w:rsid w:val="000C7746"/>
    <w:rsid w:val="000C7B45"/>
    <w:rsid w:val="000D21E7"/>
    <w:rsid w:val="000D220F"/>
    <w:rsid w:val="000D2714"/>
    <w:rsid w:val="000D2E84"/>
    <w:rsid w:val="000D315F"/>
    <w:rsid w:val="000D3638"/>
    <w:rsid w:val="000D3B21"/>
    <w:rsid w:val="000D7BB3"/>
    <w:rsid w:val="000E37D2"/>
    <w:rsid w:val="000E38C8"/>
    <w:rsid w:val="000E47EB"/>
    <w:rsid w:val="000E5255"/>
    <w:rsid w:val="000E6385"/>
    <w:rsid w:val="000E66B4"/>
    <w:rsid w:val="000F2D29"/>
    <w:rsid w:val="000F3A63"/>
    <w:rsid w:val="000F439D"/>
    <w:rsid w:val="000F4669"/>
    <w:rsid w:val="000F4C5E"/>
    <w:rsid w:val="000F6EB0"/>
    <w:rsid w:val="000F7A08"/>
    <w:rsid w:val="000F7BB0"/>
    <w:rsid w:val="00100437"/>
    <w:rsid w:val="00101653"/>
    <w:rsid w:val="00104193"/>
    <w:rsid w:val="00105BA0"/>
    <w:rsid w:val="00107158"/>
    <w:rsid w:val="0010760E"/>
    <w:rsid w:val="001105AB"/>
    <w:rsid w:val="00112C87"/>
    <w:rsid w:val="00115264"/>
    <w:rsid w:val="001172EA"/>
    <w:rsid w:val="00122A72"/>
    <w:rsid w:val="00126F7F"/>
    <w:rsid w:val="00127AB7"/>
    <w:rsid w:val="0013046D"/>
    <w:rsid w:val="00137270"/>
    <w:rsid w:val="0014023D"/>
    <w:rsid w:val="001413B9"/>
    <w:rsid w:val="00141BB5"/>
    <w:rsid w:val="0014260E"/>
    <w:rsid w:val="00144E17"/>
    <w:rsid w:val="00150479"/>
    <w:rsid w:val="00154AE6"/>
    <w:rsid w:val="00155A35"/>
    <w:rsid w:val="0015655B"/>
    <w:rsid w:val="00157695"/>
    <w:rsid w:val="001638F3"/>
    <w:rsid w:val="001640FF"/>
    <w:rsid w:val="00165FD2"/>
    <w:rsid w:val="0016679D"/>
    <w:rsid w:val="00166B13"/>
    <w:rsid w:val="00166C07"/>
    <w:rsid w:val="00167870"/>
    <w:rsid w:val="0017426C"/>
    <w:rsid w:val="001830BB"/>
    <w:rsid w:val="0018759B"/>
    <w:rsid w:val="001876FA"/>
    <w:rsid w:val="00192654"/>
    <w:rsid w:val="0019510E"/>
    <w:rsid w:val="001A26C2"/>
    <w:rsid w:val="001A7015"/>
    <w:rsid w:val="001A77FC"/>
    <w:rsid w:val="001A7B43"/>
    <w:rsid w:val="001B0FB2"/>
    <w:rsid w:val="001B1316"/>
    <w:rsid w:val="001B465B"/>
    <w:rsid w:val="001B53C3"/>
    <w:rsid w:val="001B5908"/>
    <w:rsid w:val="001B6867"/>
    <w:rsid w:val="001C0DDE"/>
    <w:rsid w:val="001C2986"/>
    <w:rsid w:val="001C5007"/>
    <w:rsid w:val="001C53E5"/>
    <w:rsid w:val="001D0792"/>
    <w:rsid w:val="001D17B0"/>
    <w:rsid w:val="001D42A7"/>
    <w:rsid w:val="001D4540"/>
    <w:rsid w:val="001D51E0"/>
    <w:rsid w:val="001D59FF"/>
    <w:rsid w:val="001D7967"/>
    <w:rsid w:val="001D7EAA"/>
    <w:rsid w:val="001E3960"/>
    <w:rsid w:val="001E65A2"/>
    <w:rsid w:val="001F00A5"/>
    <w:rsid w:val="001F08D8"/>
    <w:rsid w:val="001F1D2E"/>
    <w:rsid w:val="001F21CF"/>
    <w:rsid w:val="001F24DC"/>
    <w:rsid w:val="001F2D86"/>
    <w:rsid w:val="00200D47"/>
    <w:rsid w:val="00201941"/>
    <w:rsid w:val="0020642A"/>
    <w:rsid w:val="00207C34"/>
    <w:rsid w:val="00207C99"/>
    <w:rsid w:val="00210D31"/>
    <w:rsid w:val="00213F66"/>
    <w:rsid w:val="00214929"/>
    <w:rsid w:val="002154AA"/>
    <w:rsid w:val="00217364"/>
    <w:rsid w:val="00221212"/>
    <w:rsid w:val="002216CC"/>
    <w:rsid w:val="00222E85"/>
    <w:rsid w:val="0022326D"/>
    <w:rsid w:val="00227198"/>
    <w:rsid w:val="00227A6D"/>
    <w:rsid w:val="00230694"/>
    <w:rsid w:val="002355F9"/>
    <w:rsid w:val="00237611"/>
    <w:rsid w:val="00237C6E"/>
    <w:rsid w:val="00237D17"/>
    <w:rsid w:val="002419C4"/>
    <w:rsid w:val="00241C29"/>
    <w:rsid w:val="002438C9"/>
    <w:rsid w:val="002501CF"/>
    <w:rsid w:val="00250A70"/>
    <w:rsid w:val="002535FF"/>
    <w:rsid w:val="0025683A"/>
    <w:rsid w:val="00260408"/>
    <w:rsid w:val="00262CFA"/>
    <w:rsid w:val="00264F56"/>
    <w:rsid w:val="00265FC4"/>
    <w:rsid w:val="00267D6E"/>
    <w:rsid w:val="0027087D"/>
    <w:rsid w:val="00272DC4"/>
    <w:rsid w:val="00273BC4"/>
    <w:rsid w:val="002752D2"/>
    <w:rsid w:val="00277DCF"/>
    <w:rsid w:val="00286411"/>
    <w:rsid w:val="00291443"/>
    <w:rsid w:val="00291B94"/>
    <w:rsid w:val="00292AE7"/>
    <w:rsid w:val="00292B30"/>
    <w:rsid w:val="00292D75"/>
    <w:rsid w:val="0029411A"/>
    <w:rsid w:val="00294A34"/>
    <w:rsid w:val="00294D69"/>
    <w:rsid w:val="00295353"/>
    <w:rsid w:val="002954EE"/>
    <w:rsid w:val="002959E8"/>
    <w:rsid w:val="002A0425"/>
    <w:rsid w:val="002A1319"/>
    <w:rsid w:val="002A145C"/>
    <w:rsid w:val="002A2095"/>
    <w:rsid w:val="002A4590"/>
    <w:rsid w:val="002A6FFD"/>
    <w:rsid w:val="002A73BF"/>
    <w:rsid w:val="002B2465"/>
    <w:rsid w:val="002B36A5"/>
    <w:rsid w:val="002B36F8"/>
    <w:rsid w:val="002B3C95"/>
    <w:rsid w:val="002B4510"/>
    <w:rsid w:val="002B505E"/>
    <w:rsid w:val="002B597E"/>
    <w:rsid w:val="002B65B6"/>
    <w:rsid w:val="002B7092"/>
    <w:rsid w:val="002C3046"/>
    <w:rsid w:val="002C465B"/>
    <w:rsid w:val="002C6F74"/>
    <w:rsid w:val="002C7124"/>
    <w:rsid w:val="002C7EA5"/>
    <w:rsid w:val="002D098C"/>
    <w:rsid w:val="002D2FBF"/>
    <w:rsid w:val="002D4D80"/>
    <w:rsid w:val="002E04C6"/>
    <w:rsid w:val="002E0B82"/>
    <w:rsid w:val="002E1439"/>
    <w:rsid w:val="002E21B4"/>
    <w:rsid w:val="002E490B"/>
    <w:rsid w:val="002E5DC9"/>
    <w:rsid w:val="002F0ACF"/>
    <w:rsid w:val="002F1512"/>
    <w:rsid w:val="002F22FF"/>
    <w:rsid w:val="002F4EEB"/>
    <w:rsid w:val="002F60E7"/>
    <w:rsid w:val="002F70FA"/>
    <w:rsid w:val="00300C3E"/>
    <w:rsid w:val="003015AC"/>
    <w:rsid w:val="003018C5"/>
    <w:rsid w:val="00302BEF"/>
    <w:rsid w:val="00305273"/>
    <w:rsid w:val="00305D8E"/>
    <w:rsid w:val="00307A5F"/>
    <w:rsid w:val="00307D6E"/>
    <w:rsid w:val="00311B34"/>
    <w:rsid w:val="00312A09"/>
    <w:rsid w:val="003138D1"/>
    <w:rsid w:val="00315327"/>
    <w:rsid w:val="00315623"/>
    <w:rsid w:val="0031694C"/>
    <w:rsid w:val="00317641"/>
    <w:rsid w:val="003232AF"/>
    <w:rsid w:val="003255DD"/>
    <w:rsid w:val="003301AC"/>
    <w:rsid w:val="00332C0A"/>
    <w:rsid w:val="003347F9"/>
    <w:rsid w:val="00335D8D"/>
    <w:rsid w:val="00335DEA"/>
    <w:rsid w:val="00335F05"/>
    <w:rsid w:val="00336AD8"/>
    <w:rsid w:val="00336F23"/>
    <w:rsid w:val="00343B82"/>
    <w:rsid w:val="0034467D"/>
    <w:rsid w:val="00344B6A"/>
    <w:rsid w:val="003451F0"/>
    <w:rsid w:val="0034663D"/>
    <w:rsid w:val="00347954"/>
    <w:rsid w:val="00347F3A"/>
    <w:rsid w:val="0034D3F3"/>
    <w:rsid w:val="003504E3"/>
    <w:rsid w:val="00352D96"/>
    <w:rsid w:val="00352E9D"/>
    <w:rsid w:val="00353CBF"/>
    <w:rsid w:val="00353CF9"/>
    <w:rsid w:val="003541C4"/>
    <w:rsid w:val="00356D22"/>
    <w:rsid w:val="00357C2F"/>
    <w:rsid w:val="00357DC1"/>
    <w:rsid w:val="00361B4D"/>
    <w:rsid w:val="00363099"/>
    <w:rsid w:val="003639CD"/>
    <w:rsid w:val="00365FDF"/>
    <w:rsid w:val="003733D2"/>
    <w:rsid w:val="00374231"/>
    <w:rsid w:val="00376DDE"/>
    <w:rsid w:val="00382BC1"/>
    <w:rsid w:val="0038475F"/>
    <w:rsid w:val="0038644E"/>
    <w:rsid w:val="00386C38"/>
    <w:rsid w:val="0038759F"/>
    <w:rsid w:val="00390BFB"/>
    <w:rsid w:val="003916ED"/>
    <w:rsid w:val="003925D9"/>
    <w:rsid w:val="003966B2"/>
    <w:rsid w:val="003A05B7"/>
    <w:rsid w:val="003A1EEF"/>
    <w:rsid w:val="003A7D5B"/>
    <w:rsid w:val="003B27D7"/>
    <w:rsid w:val="003B379E"/>
    <w:rsid w:val="003B41EE"/>
    <w:rsid w:val="003B4297"/>
    <w:rsid w:val="003B63D7"/>
    <w:rsid w:val="003C1D67"/>
    <w:rsid w:val="003C35FE"/>
    <w:rsid w:val="003C3CDA"/>
    <w:rsid w:val="003C5B85"/>
    <w:rsid w:val="003C5C04"/>
    <w:rsid w:val="003D170E"/>
    <w:rsid w:val="003D1D4F"/>
    <w:rsid w:val="003D2120"/>
    <w:rsid w:val="003D3846"/>
    <w:rsid w:val="003D4582"/>
    <w:rsid w:val="003D46AE"/>
    <w:rsid w:val="003D47E2"/>
    <w:rsid w:val="003D4F3C"/>
    <w:rsid w:val="003D51BB"/>
    <w:rsid w:val="003D6BF7"/>
    <w:rsid w:val="003D6E53"/>
    <w:rsid w:val="003E13A5"/>
    <w:rsid w:val="003E16CD"/>
    <w:rsid w:val="003E555A"/>
    <w:rsid w:val="003E735A"/>
    <w:rsid w:val="003E73E0"/>
    <w:rsid w:val="003E7829"/>
    <w:rsid w:val="003F1375"/>
    <w:rsid w:val="003F16D5"/>
    <w:rsid w:val="003F24E5"/>
    <w:rsid w:val="003F3C8F"/>
    <w:rsid w:val="00402F3F"/>
    <w:rsid w:val="00404F8A"/>
    <w:rsid w:val="00405C54"/>
    <w:rsid w:val="004151C1"/>
    <w:rsid w:val="0042010F"/>
    <w:rsid w:val="00420A4E"/>
    <w:rsid w:val="00420B6D"/>
    <w:rsid w:val="00423215"/>
    <w:rsid w:val="00423AC9"/>
    <w:rsid w:val="00425868"/>
    <w:rsid w:val="00426942"/>
    <w:rsid w:val="004304A3"/>
    <w:rsid w:val="00430E2C"/>
    <w:rsid w:val="00431FE9"/>
    <w:rsid w:val="0043304F"/>
    <w:rsid w:val="00434496"/>
    <w:rsid w:val="004344B8"/>
    <w:rsid w:val="00434F8D"/>
    <w:rsid w:val="00436718"/>
    <w:rsid w:val="00437BAF"/>
    <w:rsid w:val="00441868"/>
    <w:rsid w:val="0044359F"/>
    <w:rsid w:val="00445B3B"/>
    <w:rsid w:val="00445E00"/>
    <w:rsid w:val="00446784"/>
    <w:rsid w:val="0044CD79"/>
    <w:rsid w:val="00452053"/>
    <w:rsid w:val="0045406A"/>
    <w:rsid w:val="00454811"/>
    <w:rsid w:val="00455224"/>
    <w:rsid w:val="004627E5"/>
    <w:rsid w:val="00462AE5"/>
    <w:rsid w:val="00464BC3"/>
    <w:rsid w:val="004654B2"/>
    <w:rsid w:val="004721DB"/>
    <w:rsid w:val="00472E1F"/>
    <w:rsid w:val="00473177"/>
    <w:rsid w:val="00475638"/>
    <w:rsid w:val="0048032B"/>
    <w:rsid w:val="00481349"/>
    <w:rsid w:val="004842CD"/>
    <w:rsid w:val="00484E00"/>
    <w:rsid w:val="004867CB"/>
    <w:rsid w:val="00486C10"/>
    <w:rsid w:val="00486E14"/>
    <w:rsid w:val="00486EC6"/>
    <w:rsid w:val="00487056"/>
    <w:rsid w:val="00493E4A"/>
    <w:rsid w:val="00494144"/>
    <w:rsid w:val="0049602A"/>
    <w:rsid w:val="004968F4"/>
    <w:rsid w:val="00496AB4"/>
    <w:rsid w:val="004A18E2"/>
    <w:rsid w:val="004A1E75"/>
    <w:rsid w:val="004B0815"/>
    <w:rsid w:val="004B0A31"/>
    <w:rsid w:val="004B1B65"/>
    <w:rsid w:val="004B29D9"/>
    <w:rsid w:val="004B2D39"/>
    <w:rsid w:val="004B3024"/>
    <w:rsid w:val="004B3AAF"/>
    <w:rsid w:val="004B3D22"/>
    <w:rsid w:val="004B3F5B"/>
    <w:rsid w:val="004B48F9"/>
    <w:rsid w:val="004B4B3B"/>
    <w:rsid w:val="004C0260"/>
    <w:rsid w:val="004C232A"/>
    <w:rsid w:val="004C3830"/>
    <w:rsid w:val="004C41C4"/>
    <w:rsid w:val="004C7D8C"/>
    <w:rsid w:val="004D23E1"/>
    <w:rsid w:val="004D4313"/>
    <w:rsid w:val="004D5B00"/>
    <w:rsid w:val="004D6CDA"/>
    <w:rsid w:val="004D6D8C"/>
    <w:rsid w:val="004D7781"/>
    <w:rsid w:val="004E155E"/>
    <w:rsid w:val="004E2B17"/>
    <w:rsid w:val="004E3B4C"/>
    <w:rsid w:val="004E437A"/>
    <w:rsid w:val="004E4B92"/>
    <w:rsid w:val="004E66A2"/>
    <w:rsid w:val="004F2615"/>
    <w:rsid w:val="004F3A95"/>
    <w:rsid w:val="004F3DC0"/>
    <w:rsid w:val="004F4FC0"/>
    <w:rsid w:val="004F541C"/>
    <w:rsid w:val="004F718A"/>
    <w:rsid w:val="00500528"/>
    <w:rsid w:val="00501728"/>
    <w:rsid w:val="00504F72"/>
    <w:rsid w:val="00506EDE"/>
    <w:rsid w:val="00507B91"/>
    <w:rsid w:val="00510549"/>
    <w:rsid w:val="0051054F"/>
    <w:rsid w:val="00510A41"/>
    <w:rsid w:val="005123C4"/>
    <w:rsid w:val="00512E6A"/>
    <w:rsid w:val="0051344B"/>
    <w:rsid w:val="0051420F"/>
    <w:rsid w:val="00515E8D"/>
    <w:rsid w:val="0052100E"/>
    <w:rsid w:val="00526BB5"/>
    <w:rsid w:val="00535C8F"/>
    <w:rsid w:val="00540452"/>
    <w:rsid w:val="0054068A"/>
    <w:rsid w:val="00540760"/>
    <w:rsid w:val="005413D2"/>
    <w:rsid w:val="00543119"/>
    <w:rsid w:val="00543C89"/>
    <w:rsid w:val="0054461B"/>
    <w:rsid w:val="00544BC6"/>
    <w:rsid w:val="005455E2"/>
    <w:rsid w:val="005456E4"/>
    <w:rsid w:val="005466F0"/>
    <w:rsid w:val="005478AE"/>
    <w:rsid w:val="00550B2C"/>
    <w:rsid w:val="0055128B"/>
    <w:rsid w:val="00552673"/>
    <w:rsid w:val="005526C2"/>
    <w:rsid w:val="00554846"/>
    <w:rsid w:val="00555A1B"/>
    <w:rsid w:val="00555C6F"/>
    <w:rsid w:val="00556B38"/>
    <w:rsid w:val="00556B9A"/>
    <w:rsid w:val="00556C46"/>
    <w:rsid w:val="005608BE"/>
    <w:rsid w:val="00562305"/>
    <w:rsid w:val="00563B9D"/>
    <w:rsid w:val="00564E26"/>
    <w:rsid w:val="00565FCA"/>
    <w:rsid w:val="005671CB"/>
    <w:rsid w:val="00567A33"/>
    <w:rsid w:val="00570E75"/>
    <w:rsid w:val="00571191"/>
    <w:rsid w:val="0057127F"/>
    <w:rsid w:val="005715E3"/>
    <w:rsid w:val="00571DC1"/>
    <w:rsid w:val="005751BE"/>
    <w:rsid w:val="00575AF9"/>
    <w:rsid w:val="00575FDB"/>
    <w:rsid w:val="00577011"/>
    <w:rsid w:val="00580BD6"/>
    <w:rsid w:val="00583A33"/>
    <w:rsid w:val="00583D66"/>
    <w:rsid w:val="00584122"/>
    <w:rsid w:val="00585629"/>
    <w:rsid w:val="00585A59"/>
    <w:rsid w:val="0058696A"/>
    <w:rsid w:val="00590979"/>
    <w:rsid w:val="00592840"/>
    <w:rsid w:val="00595EA7"/>
    <w:rsid w:val="00596CB1"/>
    <w:rsid w:val="005974D2"/>
    <w:rsid w:val="00597F5E"/>
    <w:rsid w:val="005A0DAE"/>
    <w:rsid w:val="005A0F8E"/>
    <w:rsid w:val="005A13B1"/>
    <w:rsid w:val="005A1C94"/>
    <w:rsid w:val="005A3C41"/>
    <w:rsid w:val="005A4E7B"/>
    <w:rsid w:val="005B00AD"/>
    <w:rsid w:val="005B12D7"/>
    <w:rsid w:val="005B2AE4"/>
    <w:rsid w:val="005B38C1"/>
    <w:rsid w:val="005B643A"/>
    <w:rsid w:val="005C1B71"/>
    <w:rsid w:val="005C4E63"/>
    <w:rsid w:val="005C9E8A"/>
    <w:rsid w:val="005D1866"/>
    <w:rsid w:val="005D2032"/>
    <w:rsid w:val="005D4A7C"/>
    <w:rsid w:val="005D62BA"/>
    <w:rsid w:val="005D6AE5"/>
    <w:rsid w:val="005D7623"/>
    <w:rsid w:val="005E092F"/>
    <w:rsid w:val="005E55F8"/>
    <w:rsid w:val="005E58A9"/>
    <w:rsid w:val="005E61CA"/>
    <w:rsid w:val="005E7F8C"/>
    <w:rsid w:val="005F00DF"/>
    <w:rsid w:val="005F15CB"/>
    <w:rsid w:val="005F1D2B"/>
    <w:rsid w:val="005F2ACA"/>
    <w:rsid w:val="005F2F11"/>
    <w:rsid w:val="005F3641"/>
    <w:rsid w:val="005F77CB"/>
    <w:rsid w:val="00600F83"/>
    <w:rsid w:val="00603A7E"/>
    <w:rsid w:val="006068A2"/>
    <w:rsid w:val="00607234"/>
    <w:rsid w:val="0061067F"/>
    <w:rsid w:val="006111AB"/>
    <w:rsid w:val="006115AA"/>
    <w:rsid w:val="00611630"/>
    <w:rsid w:val="00611BA9"/>
    <w:rsid w:val="006125C9"/>
    <w:rsid w:val="00614BC2"/>
    <w:rsid w:val="00615EC8"/>
    <w:rsid w:val="006203BE"/>
    <w:rsid w:val="006205B1"/>
    <w:rsid w:val="006205CA"/>
    <w:rsid w:val="006212E1"/>
    <w:rsid w:val="0062135F"/>
    <w:rsid w:val="00622618"/>
    <w:rsid w:val="00624BBD"/>
    <w:rsid w:val="00626751"/>
    <w:rsid w:val="00626A0B"/>
    <w:rsid w:val="0062747E"/>
    <w:rsid w:val="00632E83"/>
    <w:rsid w:val="00633312"/>
    <w:rsid w:val="0063378A"/>
    <w:rsid w:val="00633DE6"/>
    <w:rsid w:val="006400CD"/>
    <w:rsid w:val="006408A7"/>
    <w:rsid w:val="00640D6E"/>
    <w:rsid w:val="00640F84"/>
    <w:rsid w:val="00642C76"/>
    <w:rsid w:val="006463EC"/>
    <w:rsid w:val="006532D0"/>
    <w:rsid w:val="00653BCF"/>
    <w:rsid w:val="00653E72"/>
    <w:rsid w:val="00654414"/>
    <w:rsid w:val="00655D3E"/>
    <w:rsid w:val="006572A8"/>
    <w:rsid w:val="006601A0"/>
    <w:rsid w:val="00661345"/>
    <w:rsid w:val="0066325A"/>
    <w:rsid w:val="00667228"/>
    <w:rsid w:val="00667284"/>
    <w:rsid w:val="00667300"/>
    <w:rsid w:val="00667870"/>
    <w:rsid w:val="00667E33"/>
    <w:rsid w:val="00667F6D"/>
    <w:rsid w:val="0067310C"/>
    <w:rsid w:val="006806CC"/>
    <w:rsid w:val="00680DED"/>
    <w:rsid w:val="00680FBE"/>
    <w:rsid w:val="00681386"/>
    <w:rsid w:val="0068289A"/>
    <w:rsid w:val="0068387D"/>
    <w:rsid w:val="00684A48"/>
    <w:rsid w:val="0068659A"/>
    <w:rsid w:val="00690CCF"/>
    <w:rsid w:val="00691FA5"/>
    <w:rsid w:val="00692443"/>
    <w:rsid w:val="00693CFD"/>
    <w:rsid w:val="006952C8"/>
    <w:rsid w:val="006968FF"/>
    <w:rsid w:val="006A0F69"/>
    <w:rsid w:val="006A1944"/>
    <w:rsid w:val="006A38AC"/>
    <w:rsid w:val="006A5BCC"/>
    <w:rsid w:val="006A62BC"/>
    <w:rsid w:val="006A663E"/>
    <w:rsid w:val="006A67DB"/>
    <w:rsid w:val="006B05D7"/>
    <w:rsid w:val="006B0AE7"/>
    <w:rsid w:val="006B2FB8"/>
    <w:rsid w:val="006B72FE"/>
    <w:rsid w:val="006C0948"/>
    <w:rsid w:val="006C0C1B"/>
    <w:rsid w:val="006C38A8"/>
    <w:rsid w:val="006C638F"/>
    <w:rsid w:val="006C6D3E"/>
    <w:rsid w:val="006D28BC"/>
    <w:rsid w:val="006D2C31"/>
    <w:rsid w:val="006D351E"/>
    <w:rsid w:val="006D3DFA"/>
    <w:rsid w:val="006D40B5"/>
    <w:rsid w:val="006D4BC2"/>
    <w:rsid w:val="006D513A"/>
    <w:rsid w:val="006D51DB"/>
    <w:rsid w:val="006D573E"/>
    <w:rsid w:val="006D7E40"/>
    <w:rsid w:val="006E0283"/>
    <w:rsid w:val="006E05EB"/>
    <w:rsid w:val="006E1990"/>
    <w:rsid w:val="006E1A2A"/>
    <w:rsid w:val="006E486C"/>
    <w:rsid w:val="006E5716"/>
    <w:rsid w:val="006E5F74"/>
    <w:rsid w:val="006E7138"/>
    <w:rsid w:val="006E7A65"/>
    <w:rsid w:val="006F21F4"/>
    <w:rsid w:val="006F227F"/>
    <w:rsid w:val="006F3232"/>
    <w:rsid w:val="00700708"/>
    <w:rsid w:val="007013EA"/>
    <w:rsid w:val="00701911"/>
    <w:rsid w:val="00702FA3"/>
    <w:rsid w:val="0070308E"/>
    <w:rsid w:val="007039D1"/>
    <w:rsid w:val="007042FD"/>
    <w:rsid w:val="00704377"/>
    <w:rsid w:val="00704807"/>
    <w:rsid w:val="00704FB0"/>
    <w:rsid w:val="007074E5"/>
    <w:rsid w:val="00712188"/>
    <w:rsid w:val="00712839"/>
    <w:rsid w:val="00713541"/>
    <w:rsid w:val="00714F6A"/>
    <w:rsid w:val="00717507"/>
    <w:rsid w:val="00719400"/>
    <w:rsid w:val="00722696"/>
    <w:rsid w:val="007228BA"/>
    <w:rsid w:val="00722E7C"/>
    <w:rsid w:val="0072303D"/>
    <w:rsid w:val="007313A2"/>
    <w:rsid w:val="00732D05"/>
    <w:rsid w:val="0073306B"/>
    <w:rsid w:val="00734B39"/>
    <w:rsid w:val="00737680"/>
    <w:rsid w:val="00740173"/>
    <w:rsid w:val="0074111C"/>
    <w:rsid w:val="0074132E"/>
    <w:rsid w:val="00741494"/>
    <w:rsid w:val="00743D54"/>
    <w:rsid w:val="00745063"/>
    <w:rsid w:val="00747923"/>
    <w:rsid w:val="007479AA"/>
    <w:rsid w:val="00747A48"/>
    <w:rsid w:val="007500D9"/>
    <w:rsid w:val="00751019"/>
    <w:rsid w:val="00751801"/>
    <w:rsid w:val="00751B80"/>
    <w:rsid w:val="00752DAB"/>
    <w:rsid w:val="00755C57"/>
    <w:rsid w:val="00757C00"/>
    <w:rsid w:val="007601D1"/>
    <w:rsid w:val="007632F4"/>
    <w:rsid w:val="00765A2A"/>
    <w:rsid w:val="00766038"/>
    <w:rsid w:val="0077166B"/>
    <w:rsid w:val="007727AF"/>
    <w:rsid w:val="00773FAD"/>
    <w:rsid w:val="007744C2"/>
    <w:rsid w:val="00775C54"/>
    <w:rsid w:val="007776DC"/>
    <w:rsid w:val="00780233"/>
    <w:rsid w:val="00782062"/>
    <w:rsid w:val="007849E1"/>
    <w:rsid w:val="00786724"/>
    <w:rsid w:val="007873EE"/>
    <w:rsid w:val="0078F962"/>
    <w:rsid w:val="00790250"/>
    <w:rsid w:val="00796B3C"/>
    <w:rsid w:val="007A05E1"/>
    <w:rsid w:val="007A209A"/>
    <w:rsid w:val="007A5015"/>
    <w:rsid w:val="007A6E4C"/>
    <w:rsid w:val="007A79A1"/>
    <w:rsid w:val="007B0D7B"/>
    <w:rsid w:val="007B1C60"/>
    <w:rsid w:val="007B2CDC"/>
    <w:rsid w:val="007B484B"/>
    <w:rsid w:val="007B4A6B"/>
    <w:rsid w:val="007B4C01"/>
    <w:rsid w:val="007B5AC4"/>
    <w:rsid w:val="007C0C2E"/>
    <w:rsid w:val="007C3ECC"/>
    <w:rsid w:val="007C46C6"/>
    <w:rsid w:val="007C5FAE"/>
    <w:rsid w:val="007C65C4"/>
    <w:rsid w:val="007C748D"/>
    <w:rsid w:val="007C789B"/>
    <w:rsid w:val="007D1373"/>
    <w:rsid w:val="007D5A7D"/>
    <w:rsid w:val="007D616B"/>
    <w:rsid w:val="007D72DC"/>
    <w:rsid w:val="007E0CDB"/>
    <w:rsid w:val="007E16B9"/>
    <w:rsid w:val="007E2F29"/>
    <w:rsid w:val="007E3C1F"/>
    <w:rsid w:val="007E5409"/>
    <w:rsid w:val="007E5780"/>
    <w:rsid w:val="007E7282"/>
    <w:rsid w:val="007F05D9"/>
    <w:rsid w:val="007F0A7C"/>
    <w:rsid w:val="007F1B6A"/>
    <w:rsid w:val="007F32D5"/>
    <w:rsid w:val="007F4B7E"/>
    <w:rsid w:val="007F6CA6"/>
    <w:rsid w:val="00802180"/>
    <w:rsid w:val="00802E1A"/>
    <w:rsid w:val="00803281"/>
    <w:rsid w:val="008036C2"/>
    <w:rsid w:val="0080376C"/>
    <w:rsid w:val="00803DEC"/>
    <w:rsid w:val="008041B8"/>
    <w:rsid w:val="0080484C"/>
    <w:rsid w:val="008053AF"/>
    <w:rsid w:val="00805E7B"/>
    <w:rsid w:val="00810490"/>
    <w:rsid w:val="0081219B"/>
    <w:rsid w:val="00812203"/>
    <w:rsid w:val="00813387"/>
    <w:rsid w:val="008134B7"/>
    <w:rsid w:val="00813C38"/>
    <w:rsid w:val="008144C5"/>
    <w:rsid w:val="00815472"/>
    <w:rsid w:val="008162D1"/>
    <w:rsid w:val="00821B65"/>
    <w:rsid w:val="00823273"/>
    <w:rsid w:val="0082565C"/>
    <w:rsid w:val="0082568C"/>
    <w:rsid w:val="00832EAB"/>
    <w:rsid w:val="00840241"/>
    <w:rsid w:val="008410CD"/>
    <w:rsid w:val="0084454E"/>
    <w:rsid w:val="00844C9C"/>
    <w:rsid w:val="008468A5"/>
    <w:rsid w:val="00850663"/>
    <w:rsid w:val="0085068F"/>
    <w:rsid w:val="008507A1"/>
    <w:rsid w:val="00860BB6"/>
    <w:rsid w:val="008616D4"/>
    <w:rsid w:val="00863F31"/>
    <w:rsid w:val="00872481"/>
    <w:rsid w:val="00872658"/>
    <w:rsid w:val="00873452"/>
    <w:rsid w:val="00874648"/>
    <w:rsid w:val="00874FF7"/>
    <w:rsid w:val="00884ECD"/>
    <w:rsid w:val="0088735C"/>
    <w:rsid w:val="0088DD61"/>
    <w:rsid w:val="00890E89"/>
    <w:rsid w:val="0089497F"/>
    <w:rsid w:val="008950AA"/>
    <w:rsid w:val="00895EFB"/>
    <w:rsid w:val="00896383"/>
    <w:rsid w:val="00897D61"/>
    <w:rsid w:val="008A18DE"/>
    <w:rsid w:val="008A683C"/>
    <w:rsid w:val="008B0B4B"/>
    <w:rsid w:val="008B2DAC"/>
    <w:rsid w:val="008B3039"/>
    <w:rsid w:val="008B4593"/>
    <w:rsid w:val="008B766D"/>
    <w:rsid w:val="008C4591"/>
    <w:rsid w:val="008C7D8A"/>
    <w:rsid w:val="008D0415"/>
    <w:rsid w:val="008D20CA"/>
    <w:rsid w:val="008D469F"/>
    <w:rsid w:val="008D5825"/>
    <w:rsid w:val="008E2D4F"/>
    <w:rsid w:val="008E3416"/>
    <w:rsid w:val="008E4765"/>
    <w:rsid w:val="008E4837"/>
    <w:rsid w:val="008E4AD4"/>
    <w:rsid w:val="008E5023"/>
    <w:rsid w:val="008E5221"/>
    <w:rsid w:val="008E573C"/>
    <w:rsid w:val="008E6165"/>
    <w:rsid w:val="008F0B5F"/>
    <w:rsid w:val="008F2264"/>
    <w:rsid w:val="008F2446"/>
    <w:rsid w:val="008F2522"/>
    <w:rsid w:val="008F2ADD"/>
    <w:rsid w:val="008F34AF"/>
    <w:rsid w:val="008F34F3"/>
    <w:rsid w:val="008F35A0"/>
    <w:rsid w:val="008F3D69"/>
    <w:rsid w:val="008F46C1"/>
    <w:rsid w:val="008F4BE8"/>
    <w:rsid w:val="008F5155"/>
    <w:rsid w:val="008F5854"/>
    <w:rsid w:val="008F7775"/>
    <w:rsid w:val="008F7853"/>
    <w:rsid w:val="00900608"/>
    <w:rsid w:val="00901FD5"/>
    <w:rsid w:val="00901FDF"/>
    <w:rsid w:val="00905226"/>
    <w:rsid w:val="0090695B"/>
    <w:rsid w:val="009071E4"/>
    <w:rsid w:val="009103B3"/>
    <w:rsid w:val="00913C12"/>
    <w:rsid w:val="00915270"/>
    <w:rsid w:val="009156E5"/>
    <w:rsid w:val="00915E37"/>
    <w:rsid w:val="0091682C"/>
    <w:rsid w:val="009170C7"/>
    <w:rsid w:val="00917114"/>
    <w:rsid w:val="00917DDD"/>
    <w:rsid w:val="00920531"/>
    <w:rsid w:val="009237A1"/>
    <w:rsid w:val="00924E1C"/>
    <w:rsid w:val="009256AE"/>
    <w:rsid w:val="00930962"/>
    <w:rsid w:val="00932220"/>
    <w:rsid w:val="00934BA3"/>
    <w:rsid w:val="00941E5F"/>
    <w:rsid w:val="00943F42"/>
    <w:rsid w:val="00945935"/>
    <w:rsid w:val="00945C04"/>
    <w:rsid w:val="0095134B"/>
    <w:rsid w:val="0095201F"/>
    <w:rsid w:val="00956BB4"/>
    <w:rsid w:val="0096068E"/>
    <w:rsid w:val="009623E5"/>
    <w:rsid w:val="009629C9"/>
    <w:rsid w:val="00963270"/>
    <w:rsid w:val="00963552"/>
    <w:rsid w:val="00965A34"/>
    <w:rsid w:val="009666A6"/>
    <w:rsid w:val="009710AB"/>
    <w:rsid w:val="009724F0"/>
    <w:rsid w:val="00972E1E"/>
    <w:rsid w:val="00977047"/>
    <w:rsid w:val="009818F9"/>
    <w:rsid w:val="009829B5"/>
    <w:rsid w:val="00985061"/>
    <w:rsid w:val="00985105"/>
    <w:rsid w:val="00985435"/>
    <w:rsid w:val="00986AA6"/>
    <w:rsid w:val="00987F65"/>
    <w:rsid w:val="00990A20"/>
    <w:rsid w:val="00992310"/>
    <w:rsid w:val="00992612"/>
    <w:rsid w:val="00995B4A"/>
    <w:rsid w:val="00997670"/>
    <w:rsid w:val="00997673"/>
    <w:rsid w:val="009A23B2"/>
    <w:rsid w:val="009A2840"/>
    <w:rsid w:val="009A51F2"/>
    <w:rsid w:val="009A6304"/>
    <w:rsid w:val="009B1B3F"/>
    <w:rsid w:val="009C1C71"/>
    <w:rsid w:val="009C26CC"/>
    <w:rsid w:val="009C2962"/>
    <w:rsid w:val="009C44CA"/>
    <w:rsid w:val="009D5380"/>
    <w:rsid w:val="009D5BBD"/>
    <w:rsid w:val="009D7C02"/>
    <w:rsid w:val="009E15F8"/>
    <w:rsid w:val="009E3ADD"/>
    <w:rsid w:val="009E43EE"/>
    <w:rsid w:val="009E481B"/>
    <w:rsid w:val="009E4CBA"/>
    <w:rsid w:val="009F13EC"/>
    <w:rsid w:val="009F264D"/>
    <w:rsid w:val="009F3A3A"/>
    <w:rsid w:val="009F4423"/>
    <w:rsid w:val="009F58FF"/>
    <w:rsid w:val="00A00E3C"/>
    <w:rsid w:val="00A0241B"/>
    <w:rsid w:val="00A0361E"/>
    <w:rsid w:val="00A071B0"/>
    <w:rsid w:val="00A10FC2"/>
    <w:rsid w:val="00A11FCC"/>
    <w:rsid w:val="00A12526"/>
    <w:rsid w:val="00A132CC"/>
    <w:rsid w:val="00A14F25"/>
    <w:rsid w:val="00A15B49"/>
    <w:rsid w:val="00A15C3F"/>
    <w:rsid w:val="00A16C08"/>
    <w:rsid w:val="00A22098"/>
    <w:rsid w:val="00A23B10"/>
    <w:rsid w:val="00A23CD5"/>
    <w:rsid w:val="00A2499C"/>
    <w:rsid w:val="00A24E64"/>
    <w:rsid w:val="00A306D7"/>
    <w:rsid w:val="00A35CFB"/>
    <w:rsid w:val="00A35E8D"/>
    <w:rsid w:val="00A40105"/>
    <w:rsid w:val="00A40C56"/>
    <w:rsid w:val="00A4541F"/>
    <w:rsid w:val="00A4615B"/>
    <w:rsid w:val="00A473CF"/>
    <w:rsid w:val="00A50192"/>
    <w:rsid w:val="00A50C92"/>
    <w:rsid w:val="00A524D7"/>
    <w:rsid w:val="00A52A4D"/>
    <w:rsid w:val="00A52CF5"/>
    <w:rsid w:val="00A56AAD"/>
    <w:rsid w:val="00A6304F"/>
    <w:rsid w:val="00A637D7"/>
    <w:rsid w:val="00A647AF"/>
    <w:rsid w:val="00A662ED"/>
    <w:rsid w:val="00A66A8C"/>
    <w:rsid w:val="00A67640"/>
    <w:rsid w:val="00A676A5"/>
    <w:rsid w:val="00A676BA"/>
    <w:rsid w:val="00A67EB5"/>
    <w:rsid w:val="00A70082"/>
    <w:rsid w:val="00A723C2"/>
    <w:rsid w:val="00A73AD2"/>
    <w:rsid w:val="00A75D9C"/>
    <w:rsid w:val="00A760AD"/>
    <w:rsid w:val="00A765CE"/>
    <w:rsid w:val="00A807F2"/>
    <w:rsid w:val="00A808FD"/>
    <w:rsid w:val="00A81005"/>
    <w:rsid w:val="00A815A0"/>
    <w:rsid w:val="00A84C2D"/>
    <w:rsid w:val="00A86606"/>
    <w:rsid w:val="00A87F5E"/>
    <w:rsid w:val="00A9131F"/>
    <w:rsid w:val="00A918A8"/>
    <w:rsid w:val="00A9372A"/>
    <w:rsid w:val="00A944DF"/>
    <w:rsid w:val="00A944E2"/>
    <w:rsid w:val="00A9668F"/>
    <w:rsid w:val="00A97619"/>
    <w:rsid w:val="00AA1F9D"/>
    <w:rsid w:val="00AA5F06"/>
    <w:rsid w:val="00AA7518"/>
    <w:rsid w:val="00AB006B"/>
    <w:rsid w:val="00AB0635"/>
    <w:rsid w:val="00AB2A4D"/>
    <w:rsid w:val="00AB349A"/>
    <w:rsid w:val="00AB3E53"/>
    <w:rsid w:val="00AC004C"/>
    <w:rsid w:val="00AC0514"/>
    <w:rsid w:val="00AC0C70"/>
    <w:rsid w:val="00AC3B9D"/>
    <w:rsid w:val="00AC6960"/>
    <w:rsid w:val="00AD104F"/>
    <w:rsid w:val="00AD35E5"/>
    <w:rsid w:val="00AD38BD"/>
    <w:rsid w:val="00AD3A41"/>
    <w:rsid w:val="00AD5566"/>
    <w:rsid w:val="00AD66AC"/>
    <w:rsid w:val="00AD7C68"/>
    <w:rsid w:val="00AE0BE2"/>
    <w:rsid w:val="00AE29FE"/>
    <w:rsid w:val="00AE4D68"/>
    <w:rsid w:val="00AE61A1"/>
    <w:rsid w:val="00AF0FC8"/>
    <w:rsid w:val="00AF2109"/>
    <w:rsid w:val="00AF3476"/>
    <w:rsid w:val="00AF3D81"/>
    <w:rsid w:val="00AF4CBC"/>
    <w:rsid w:val="00AF56CE"/>
    <w:rsid w:val="00AF6BD3"/>
    <w:rsid w:val="00AF6F6D"/>
    <w:rsid w:val="00B01405"/>
    <w:rsid w:val="00B01868"/>
    <w:rsid w:val="00B03BB6"/>
    <w:rsid w:val="00B03DDD"/>
    <w:rsid w:val="00B050C7"/>
    <w:rsid w:val="00B0609B"/>
    <w:rsid w:val="00B11814"/>
    <w:rsid w:val="00B11D92"/>
    <w:rsid w:val="00B13C6E"/>
    <w:rsid w:val="00B1545D"/>
    <w:rsid w:val="00B170A1"/>
    <w:rsid w:val="00B20651"/>
    <w:rsid w:val="00B20B81"/>
    <w:rsid w:val="00B22A47"/>
    <w:rsid w:val="00B231D9"/>
    <w:rsid w:val="00B32ABF"/>
    <w:rsid w:val="00B34B33"/>
    <w:rsid w:val="00B37DA5"/>
    <w:rsid w:val="00B41D68"/>
    <w:rsid w:val="00B43F1F"/>
    <w:rsid w:val="00B454E6"/>
    <w:rsid w:val="00B45EB3"/>
    <w:rsid w:val="00B5066A"/>
    <w:rsid w:val="00B53DD6"/>
    <w:rsid w:val="00B53FA3"/>
    <w:rsid w:val="00B5436D"/>
    <w:rsid w:val="00B54436"/>
    <w:rsid w:val="00B5754B"/>
    <w:rsid w:val="00B62861"/>
    <w:rsid w:val="00B649F9"/>
    <w:rsid w:val="00B6508E"/>
    <w:rsid w:val="00B65C58"/>
    <w:rsid w:val="00B70BD4"/>
    <w:rsid w:val="00B73EA3"/>
    <w:rsid w:val="00B746EA"/>
    <w:rsid w:val="00B754F4"/>
    <w:rsid w:val="00B76837"/>
    <w:rsid w:val="00B77C1D"/>
    <w:rsid w:val="00B808B1"/>
    <w:rsid w:val="00B80A61"/>
    <w:rsid w:val="00B832C6"/>
    <w:rsid w:val="00B83558"/>
    <w:rsid w:val="00B84840"/>
    <w:rsid w:val="00B90266"/>
    <w:rsid w:val="00B90CC1"/>
    <w:rsid w:val="00B92879"/>
    <w:rsid w:val="00B92E68"/>
    <w:rsid w:val="00BA26E9"/>
    <w:rsid w:val="00BA5A8E"/>
    <w:rsid w:val="00BA6D5F"/>
    <w:rsid w:val="00BA6F86"/>
    <w:rsid w:val="00BB26F1"/>
    <w:rsid w:val="00BB39C8"/>
    <w:rsid w:val="00BB49A6"/>
    <w:rsid w:val="00BB55B7"/>
    <w:rsid w:val="00BB5746"/>
    <w:rsid w:val="00BB6779"/>
    <w:rsid w:val="00BB7DE8"/>
    <w:rsid w:val="00BC0227"/>
    <w:rsid w:val="00BC1438"/>
    <w:rsid w:val="00BC17F8"/>
    <w:rsid w:val="00BC2550"/>
    <w:rsid w:val="00BC4FB1"/>
    <w:rsid w:val="00BC796C"/>
    <w:rsid w:val="00BC7E87"/>
    <w:rsid w:val="00BD1E99"/>
    <w:rsid w:val="00BD389C"/>
    <w:rsid w:val="00BD56D5"/>
    <w:rsid w:val="00BD5FBD"/>
    <w:rsid w:val="00BD6047"/>
    <w:rsid w:val="00BD7804"/>
    <w:rsid w:val="00BE18B0"/>
    <w:rsid w:val="00BE2771"/>
    <w:rsid w:val="00BE3088"/>
    <w:rsid w:val="00BF18DE"/>
    <w:rsid w:val="00BF2D33"/>
    <w:rsid w:val="00BF44A7"/>
    <w:rsid w:val="00BF4559"/>
    <w:rsid w:val="00BF582F"/>
    <w:rsid w:val="00BF60AD"/>
    <w:rsid w:val="00BF65B0"/>
    <w:rsid w:val="00C031B5"/>
    <w:rsid w:val="00C039C5"/>
    <w:rsid w:val="00C03C62"/>
    <w:rsid w:val="00C05EFF"/>
    <w:rsid w:val="00C07EF1"/>
    <w:rsid w:val="00C115D2"/>
    <w:rsid w:val="00C2110E"/>
    <w:rsid w:val="00C21566"/>
    <w:rsid w:val="00C23371"/>
    <w:rsid w:val="00C23D44"/>
    <w:rsid w:val="00C24B30"/>
    <w:rsid w:val="00C3072A"/>
    <w:rsid w:val="00C30FD4"/>
    <w:rsid w:val="00C31ECF"/>
    <w:rsid w:val="00C32FDD"/>
    <w:rsid w:val="00C35C82"/>
    <w:rsid w:val="00C4360F"/>
    <w:rsid w:val="00C441A4"/>
    <w:rsid w:val="00C441B3"/>
    <w:rsid w:val="00C45B64"/>
    <w:rsid w:val="00C525EE"/>
    <w:rsid w:val="00C53173"/>
    <w:rsid w:val="00C5340F"/>
    <w:rsid w:val="00C57FA9"/>
    <w:rsid w:val="00C606D7"/>
    <w:rsid w:val="00C625FC"/>
    <w:rsid w:val="00C71D68"/>
    <w:rsid w:val="00C733C0"/>
    <w:rsid w:val="00C73952"/>
    <w:rsid w:val="00C7662A"/>
    <w:rsid w:val="00C807E0"/>
    <w:rsid w:val="00C80DD7"/>
    <w:rsid w:val="00C824FC"/>
    <w:rsid w:val="00C82722"/>
    <w:rsid w:val="00C82CF7"/>
    <w:rsid w:val="00C86FBA"/>
    <w:rsid w:val="00C902AD"/>
    <w:rsid w:val="00C917BC"/>
    <w:rsid w:val="00C91D84"/>
    <w:rsid w:val="00C92643"/>
    <w:rsid w:val="00C95308"/>
    <w:rsid w:val="00C96698"/>
    <w:rsid w:val="00C96E1E"/>
    <w:rsid w:val="00CA1921"/>
    <w:rsid w:val="00CA351A"/>
    <w:rsid w:val="00CA3E9A"/>
    <w:rsid w:val="00CA486B"/>
    <w:rsid w:val="00CA4D65"/>
    <w:rsid w:val="00CA5DD1"/>
    <w:rsid w:val="00CA6B81"/>
    <w:rsid w:val="00CB26CD"/>
    <w:rsid w:val="00CB4B00"/>
    <w:rsid w:val="00CB4D7A"/>
    <w:rsid w:val="00CB52B0"/>
    <w:rsid w:val="00CB6BD3"/>
    <w:rsid w:val="00CB6C8D"/>
    <w:rsid w:val="00CB7AF8"/>
    <w:rsid w:val="00CC3458"/>
    <w:rsid w:val="00CC5E87"/>
    <w:rsid w:val="00CC6FDA"/>
    <w:rsid w:val="00CD2E04"/>
    <w:rsid w:val="00CD3FAA"/>
    <w:rsid w:val="00CD6127"/>
    <w:rsid w:val="00CE2C96"/>
    <w:rsid w:val="00CE6219"/>
    <w:rsid w:val="00CE689E"/>
    <w:rsid w:val="00CE742F"/>
    <w:rsid w:val="00CE7661"/>
    <w:rsid w:val="00CE7728"/>
    <w:rsid w:val="00CF0D98"/>
    <w:rsid w:val="00CF2306"/>
    <w:rsid w:val="00CF3717"/>
    <w:rsid w:val="00CF3F92"/>
    <w:rsid w:val="00CF53A5"/>
    <w:rsid w:val="00CF56F0"/>
    <w:rsid w:val="00CF59B7"/>
    <w:rsid w:val="00CF73BA"/>
    <w:rsid w:val="00CF7B79"/>
    <w:rsid w:val="00CF7F4B"/>
    <w:rsid w:val="00D05557"/>
    <w:rsid w:val="00D06292"/>
    <w:rsid w:val="00D06EF0"/>
    <w:rsid w:val="00D0BD14"/>
    <w:rsid w:val="00D21578"/>
    <w:rsid w:val="00D21CDE"/>
    <w:rsid w:val="00D23C6E"/>
    <w:rsid w:val="00D24454"/>
    <w:rsid w:val="00D26AA2"/>
    <w:rsid w:val="00D274D0"/>
    <w:rsid w:val="00D27DB3"/>
    <w:rsid w:val="00D318AC"/>
    <w:rsid w:val="00D34FB0"/>
    <w:rsid w:val="00D3545A"/>
    <w:rsid w:val="00D3576C"/>
    <w:rsid w:val="00D358EB"/>
    <w:rsid w:val="00D36070"/>
    <w:rsid w:val="00D374FA"/>
    <w:rsid w:val="00D41327"/>
    <w:rsid w:val="00D4296F"/>
    <w:rsid w:val="00D44226"/>
    <w:rsid w:val="00D4534F"/>
    <w:rsid w:val="00D45CD6"/>
    <w:rsid w:val="00D5025B"/>
    <w:rsid w:val="00D5115E"/>
    <w:rsid w:val="00D56650"/>
    <w:rsid w:val="00D579FE"/>
    <w:rsid w:val="00D57D08"/>
    <w:rsid w:val="00D57FEC"/>
    <w:rsid w:val="00D60CB9"/>
    <w:rsid w:val="00D61628"/>
    <w:rsid w:val="00D65989"/>
    <w:rsid w:val="00D70790"/>
    <w:rsid w:val="00D72F30"/>
    <w:rsid w:val="00D756EA"/>
    <w:rsid w:val="00D76DCF"/>
    <w:rsid w:val="00D77127"/>
    <w:rsid w:val="00D77207"/>
    <w:rsid w:val="00D779C1"/>
    <w:rsid w:val="00D900EB"/>
    <w:rsid w:val="00D90370"/>
    <w:rsid w:val="00D924DE"/>
    <w:rsid w:val="00D925D8"/>
    <w:rsid w:val="00D926A7"/>
    <w:rsid w:val="00D933A3"/>
    <w:rsid w:val="00D938DB"/>
    <w:rsid w:val="00D93F26"/>
    <w:rsid w:val="00D94280"/>
    <w:rsid w:val="00D94B1B"/>
    <w:rsid w:val="00D96130"/>
    <w:rsid w:val="00D97794"/>
    <w:rsid w:val="00D97B58"/>
    <w:rsid w:val="00D97E63"/>
    <w:rsid w:val="00DA0EFA"/>
    <w:rsid w:val="00DA1801"/>
    <w:rsid w:val="00DA1F2B"/>
    <w:rsid w:val="00DA21E0"/>
    <w:rsid w:val="00DA2318"/>
    <w:rsid w:val="00DA3295"/>
    <w:rsid w:val="00DA5429"/>
    <w:rsid w:val="00DA68C7"/>
    <w:rsid w:val="00DB1DDF"/>
    <w:rsid w:val="00DB2B11"/>
    <w:rsid w:val="00DB6166"/>
    <w:rsid w:val="00DB7044"/>
    <w:rsid w:val="00DB7E37"/>
    <w:rsid w:val="00DC2209"/>
    <w:rsid w:val="00DC2378"/>
    <w:rsid w:val="00DC5C61"/>
    <w:rsid w:val="00DC60F6"/>
    <w:rsid w:val="00DC6193"/>
    <w:rsid w:val="00DD0443"/>
    <w:rsid w:val="00DD0ABD"/>
    <w:rsid w:val="00DE077F"/>
    <w:rsid w:val="00DE2AF5"/>
    <w:rsid w:val="00DE6243"/>
    <w:rsid w:val="00DF177B"/>
    <w:rsid w:val="00DF5F63"/>
    <w:rsid w:val="00DF6314"/>
    <w:rsid w:val="00E00714"/>
    <w:rsid w:val="00E03773"/>
    <w:rsid w:val="00E03F25"/>
    <w:rsid w:val="00E04075"/>
    <w:rsid w:val="00E10AB9"/>
    <w:rsid w:val="00E136BC"/>
    <w:rsid w:val="00E14F54"/>
    <w:rsid w:val="00E218BF"/>
    <w:rsid w:val="00E22E50"/>
    <w:rsid w:val="00E24F8B"/>
    <w:rsid w:val="00E2573C"/>
    <w:rsid w:val="00E25D04"/>
    <w:rsid w:val="00E25FA1"/>
    <w:rsid w:val="00E26E31"/>
    <w:rsid w:val="00E2F6EA"/>
    <w:rsid w:val="00E3160D"/>
    <w:rsid w:val="00E32C0C"/>
    <w:rsid w:val="00E33285"/>
    <w:rsid w:val="00E339F7"/>
    <w:rsid w:val="00E34244"/>
    <w:rsid w:val="00E34F06"/>
    <w:rsid w:val="00E35ED5"/>
    <w:rsid w:val="00E436AE"/>
    <w:rsid w:val="00E43B32"/>
    <w:rsid w:val="00E445C0"/>
    <w:rsid w:val="00E46602"/>
    <w:rsid w:val="00E521D1"/>
    <w:rsid w:val="00E5227C"/>
    <w:rsid w:val="00E52B42"/>
    <w:rsid w:val="00E546E0"/>
    <w:rsid w:val="00E54DC5"/>
    <w:rsid w:val="00E561FC"/>
    <w:rsid w:val="00E5638D"/>
    <w:rsid w:val="00E564BB"/>
    <w:rsid w:val="00E6192C"/>
    <w:rsid w:val="00E629E5"/>
    <w:rsid w:val="00E75FC0"/>
    <w:rsid w:val="00E76267"/>
    <w:rsid w:val="00E765E8"/>
    <w:rsid w:val="00E76927"/>
    <w:rsid w:val="00E76BD3"/>
    <w:rsid w:val="00E80914"/>
    <w:rsid w:val="00E80F63"/>
    <w:rsid w:val="00E82FB0"/>
    <w:rsid w:val="00E83F66"/>
    <w:rsid w:val="00E855B1"/>
    <w:rsid w:val="00E87C50"/>
    <w:rsid w:val="00E87DC7"/>
    <w:rsid w:val="00E87F56"/>
    <w:rsid w:val="00E949BE"/>
    <w:rsid w:val="00E95FD8"/>
    <w:rsid w:val="00EA0BC4"/>
    <w:rsid w:val="00EA3126"/>
    <w:rsid w:val="00EA4A14"/>
    <w:rsid w:val="00EA60D8"/>
    <w:rsid w:val="00EA7F20"/>
    <w:rsid w:val="00EB3290"/>
    <w:rsid w:val="00EB4088"/>
    <w:rsid w:val="00EB5042"/>
    <w:rsid w:val="00EB6BB2"/>
    <w:rsid w:val="00EB7B83"/>
    <w:rsid w:val="00EC0D7C"/>
    <w:rsid w:val="00EC23D9"/>
    <w:rsid w:val="00EC42AC"/>
    <w:rsid w:val="00EC4BA3"/>
    <w:rsid w:val="00EC51A0"/>
    <w:rsid w:val="00EC5BCC"/>
    <w:rsid w:val="00ED03B3"/>
    <w:rsid w:val="00ED0D40"/>
    <w:rsid w:val="00ED13AE"/>
    <w:rsid w:val="00ED1B0D"/>
    <w:rsid w:val="00ED2996"/>
    <w:rsid w:val="00ED4D68"/>
    <w:rsid w:val="00ED7184"/>
    <w:rsid w:val="00EE1155"/>
    <w:rsid w:val="00EE20D9"/>
    <w:rsid w:val="00EE2C5E"/>
    <w:rsid w:val="00EE3AD7"/>
    <w:rsid w:val="00EF0857"/>
    <w:rsid w:val="00EF0CE6"/>
    <w:rsid w:val="00EF1543"/>
    <w:rsid w:val="00EF2808"/>
    <w:rsid w:val="00EF3574"/>
    <w:rsid w:val="00EF47C0"/>
    <w:rsid w:val="00EF4BE6"/>
    <w:rsid w:val="00F03D33"/>
    <w:rsid w:val="00F0410F"/>
    <w:rsid w:val="00F04F26"/>
    <w:rsid w:val="00F05B86"/>
    <w:rsid w:val="00F0642F"/>
    <w:rsid w:val="00F079CF"/>
    <w:rsid w:val="00F10A51"/>
    <w:rsid w:val="00F1124E"/>
    <w:rsid w:val="00F11847"/>
    <w:rsid w:val="00F11A29"/>
    <w:rsid w:val="00F11D8E"/>
    <w:rsid w:val="00F12BBF"/>
    <w:rsid w:val="00F12FBD"/>
    <w:rsid w:val="00F14EE2"/>
    <w:rsid w:val="00F15A8C"/>
    <w:rsid w:val="00F1648A"/>
    <w:rsid w:val="00F1685D"/>
    <w:rsid w:val="00F21292"/>
    <w:rsid w:val="00F22731"/>
    <w:rsid w:val="00F22EBE"/>
    <w:rsid w:val="00F239CD"/>
    <w:rsid w:val="00F26FA5"/>
    <w:rsid w:val="00F30095"/>
    <w:rsid w:val="00F30287"/>
    <w:rsid w:val="00F3076E"/>
    <w:rsid w:val="00F31768"/>
    <w:rsid w:val="00F31A01"/>
    <w:rsid w:val="00F328FD"/>
    <w:rsid w:val="00F331A7"/>
    <w:rsid w:val="00F353AE"/>
    <w:rsid w:val="00F40BE9"/>
    <w:rsid w:val="00F41C22"/>
    <w:rsid w:val="00F44CDD"/>
    <w:rsid w:val="00F47F31"/>
    <w:rsid w:val="00F508C8"/>
    <w:rsid w:val="00F50FA7"/>
    <w:rsid w:val="00F50FAD"/>
    <w:rsid w:val="00F51EED"/>
    <w:rsid w:val="00F54DBC"/>
    <w:rsid w:val="00F55470"/>
    <w:rsid w:val="00F56ADD"/>
    <w:rsid w:val="00F60016"/>
    <w:rsid w:val="00F600C2"/>
    <w:rsid w:val="00F61899"/>
    <w:rsid w:val="00F65DCC"/>
    <w:rsid w:val="00F72871"/>
    <w:rsid w:val="00F72C96"/>
    <w:rsid w:val="00F77073"/>
    <w:rsid w:val="00F81333"/>
    <w:rsid w:val="00F81D98"/>
    <w:rsid w:val="00F8213F"/>
    <w:rsid w:val="00F82F72"/>
    <w:rsid w:val="00F83395"/>
    <w:rsid w:val="00F84E3F"/>
    <w:rsid w:val="00F86322"/>
    <w:rsid w:val="00F87B1B"/>
    <w:rsid w:val="00F905D5"/>
    <w:rsid w:val="00F936DC"/>
    <w:rsid w:val="00F9461B"/>
    <w:rsid w:val="00F94944"/>
    <w:rsid w:val="00F9675F"/>
    <w:rsid w:val="00FA0685"/>
    <w:rsid w:val="00FA0CFE"/>
    <w:rsid w:val="00FA10BD"/>
    <w:rsid w:val="00FA122B"/>
    <w:rsid w:val="00FA317E"/>
    <w:rsid w:val="00FA387A"/>
    <w:rsid w:val="00FA5AF7"/>
    <w:rsid w:val="00FB24B0"/>
    <w:rsid w:val="00FB2B8F"/>
    <w:rsid w:val="00FB37D2"/>
    <w:rsid w:val="00FB3F22"/>
    <w:rsid w:val="00FB49D0"/>
    <w:rsid w:val="00FB6E52"/>
    <w:rsid w:val="00FB7125"/>
    <w:rsid w:val="00FC100B"/>
    <w:rsid w:val="00FC3AAF"/>
    <w:rsid w:val="00FC5F89"/>
    <w:rsid w:val="00FC7A5C"/>
    <w:rsid w:val="00FD03AB"/>
    <w:rsid w:val="00FD59C8"/>
    <w:rsid w:val="00FD7FF7"/>
    <w:rsid w:val="00FE05E1"/>
    <w:rsid w:val="00FE157C"/>
    <w:rsid w:val="00FE1BF2"/>
    <w:rsid w:val="00FE2A5A"/>
    <w:rsid w:val="00FE6EE9"/>
    <w:rsid w:val="00FF25AA"/>
    <w:rsid w:val="00FF4201"/>
    <w:rsid w:val="00FF4313"/>
    <w:rsid w:val="00FF72F6"/>
    <w:rsid w:val="00FF734A"/>
    <w:rsid w:val="01160B77"/>
    <w:rsid w:val="011B88F5"/>
    <w:rsid w:val="012D1BDA"/>
    <w:rsid w:val="01434A39"/>
    <w:rsid w:val="0157D68A"/>
    <w:rsid w:val="0168CC21"/>
    <w:rsid w:val="0169BACA"/>
    <w:rsid w:val="016A04F2"/>
    <w:rsid w:val="01752BC2"/>
    <w:rsid w:val="01C2103F"/>
    <w:rsid w:val="01C2388E"/>
    <w:rsid w:val="01C868BC"/>
    <w:rsid w:val="01CF7B82"/>
    <w:rsid w:val="01D2A7C7"/>
    <w:rsid w:val="01F69B06"/>
    <w:rsid w:val="01FD00FC"/>
    <w:rsid w:val="020CD17A"/>
    <w:rsid w:val="0225D027"/>
    <w:rsid w:val="026C2914"/>
    <w:rsid w:val="027A79B5"/>
    <w:rsid w:val="029267C1"/>
    <w:rsid w:val="02BE6A93"/>
    <w:rsid w:val="02C70536"/>
    <w:rsid w:val="02CA0497"/>
    <w:rsid w:val="02D9CBEA"/>
    <w:rsid w:val="02DC4424"/>
    <w:rsid w:val="02F08356"/>
    <w:rsid w:val="03181E16"/>
    <w:rsid w:val="034E9EF4"/>
    <w:rsid w:val="0354A79B"/>
    <w:rsid w:val="035530E7"/>
    <w:rsid w:val="0363BEB3"/>
    <w:rsid w:val="03693F86"/>
    <w:rsid w:val="037C5E63"/>
    <w:rsid w:val="039346F7"/>
    <w:rsid w:val="0398F992"/>
    <w:rsid w:val="039A69B8"/>
    <w:rsid w:val="039DF285"/>
    <w:rsid w:val="03A5ED65"/>
    <w:rsid w:val="03B2D25D"/>
    <w:rsid w:val="03BFB98F"/>
    <w:rsid w:val="03C18EB5"/>
    <w:rsid w:val="03CC9B2C"/>
    <w:rsid w:val="03DF7EC3"/>
    <w:rsid w:val="03E0F3FD"/>
    <w:rsid w:val="03E13240"/>
    <w:rsid w:val="03F4CB84"/>
    <w:rsid w:val="04078C9D"/>
    <w:rsid w:val="0428C258"/>
    <w:rsid w:val="04437D14"/>
    <w:rsid w:val="0462B738"/>
    <w:rsid w:val="048CBEB9"/>
    <w:rsid w:val="04925CBE"/>
    <w:rsid w:val="04947E82"/>
    <w:rsid w:val="04A78162"/>
    <w:rsid w:val="04A79818"/>
    <w:rsid w:val="04B01A53"/>
    <w:rsid w:val="04BB6DAF"/>
    <w:rsid w:val="04DCEF4E"/>
    <w:rsid w:val="04E266B7"/>
    <w:rsid w:val="04F438B7"/>
    <w:rsid w:val="04FFA2C8"/>
    <w:rsid w:val="050CD11C"/>
    <w:rsid w:val="0532DA4B"/>
    <w:rsid w:val="0536E52A"/>
    <w:rsid w:val="053ECA65"/>
    <w:rsid w:val="05589952"/>
    <w:rsid w:val="056E9C11"/>
    <w:rsid w:val="0578ACFE"/>
    <w:rsid w:val="05803E49"/>
    <w:rsid w:val="059B8554"/>
    <w:rsid w:val="05ABD4A5"/>
    <w:rsid w:val="05C123EE"/>
    <w:rsid w:val="060F305C"/>
    <w:rsid w:val="0612B0A2"/>
    <w:rsid w:val="0616091A"/>
    <w:rsid w:val="061CAAFB"/>
    <w:rsid w:val="06257F46"/>
    <w:rsid w:val="062754D5"/>
    <w:rsid w:val="0636759D"/>
    <w:rsid w:val="063B43DE"/>
    <w:rsid w:val="06744554"/>
    <w:rsid w:val="06960053"/>
    <w:rsid w:val="06AAB5F8"/>
    <w:rsid w:val="06C131AD"/>
    <w:rsid w:val="06E0E64C"/>
    <w:rsid w:val="06EBDC9D"/>
    <w:rsid w:val="06F0B3A7"/>
    <w:rsid w:val="0706D473"/>
    <w:rsid w:val="074AFC0B"/>
    <w:rsid w:val="075B8D94"/>
    <w:rsid w:val="0761A71F"/>
    <w:rsid w:val="076D295E"/>
    <w:rsid w:val="0772ED4E"/>
    <w:rsid w:val="07753617"/>
    <w:rsid w:val="0787C8BD"/>
    <w:rsid w:val="07A37406"/>
    <w:rsid w:val="07CE8213"/>
    <w:rsid w:val="07D31EA5"/>
    <w:rsid w:val="07D561B8"/>
    <w:rsid w:val="07EAD917"/>
    <w:rsid w:val="0823BE35"/>
    <w:rsid w:val="08274A11"/>
    <w:rsid w:val="08363367"/>
    <w:rsid w:val="0843897D"/>
    <w:rsid w:val="0855A3D7"/>
    <w:rsid w:val="0875B53F"/>
    <w:rsid w:val="089ABC3B"/>
    <w:rsid w:val="08A43521"/>
    <w:rsid w:val="08AAA3FB"/>
    <w:rsid w:val="08BEBAB3"/>
    <w:rsid w:val="08C79BD5"/>
    <w:rsid w:val="08D51FBB"/>
    <w:rsid w:val="08FD8614"/>
    <w:rsid w:val="090F366D"/>
    <w:rsid w:val="0915955B"/>
    <w:rsid w:val="091BF055"/>
    <w:rsid w:val="093E2DD8"/>
    <w:rsid w:val="09436F5B"/>
    <w:rsid w:val="0947C142"/>
    <w:rsid w:val="094F0A25"/>
    <w:rsid w:val="09716FD9"/>
    <w:rsid w:val="0971B347"/>
    <w:rsid w:val="0976DED3"/>
    <w:rsid w:val="097B96DD"/>
    <w:rsid w:val="0999DF22"/>
    <w:rsid w:val="09D44D0E"/>
    <w:rsid w:val="09D577B5"/>
    <w:rsid w:val="09DC7A53"/>
    <w:rsid w:val="09E6F73B"/>
    <w:rsid w:val="09F23CBF"/>
    <w:rsid w:val="0A027C0A"/>
    <w:rsid w:val="0A06CC4F"/>
    <w:rsid w:val="0A22E467"/>
    <w:rsid w:val="0A34A73F"/>
    <w:rsid w:val="0A79CAED"/>
    <w:rsid w:val="0A7CDCD5"/>
    <w:rsid w:val="0A9318BA"/>
    <w:rsid w:val="0AA3321B"/>
    <w:rsid w:val="0AA415DD"/>
    <w:rsid w:val="0AA4A6A2"/>
    <w:rsid w:val="0AC75F1B"/>
    <w:rsid w:val="0AD500AE"/>
    <w:rsid w:val="0AF2E065"/>
    <w:rsid w:val="0B35A166"/>
    <w:rsid w:val="0B45696C"/>
    <w:rsid w:val="0B7368AE"/>
    <w:rsid w:val="0B8F7E4B"/>
    <w:rsid w:val="0BAA2D39"/>
    <w:rsid w:val="0BC2FDBF"/>
    <w:rsid w:val="0BC6A4D6"/>
    <w:rsid w:val="0BCCA5BE"/>
    <w:rsid w:val="0BCE8DA6"/>
    <w:rsid w:val="0BDE8A22"/>
    <w:rsid w:val="0BE02C9C"/>
    <w:rsid w:val="0C07A8B3"/>
    <w:rsid w:val="0C0B2955"/>
    <w:rsid w:val="0C199754"/>
    <w:rsid w:val="0C2EC792"/>
    <w:rsid w:val="0C34D95D"/>
    <w:rsid w:val="0C3AFC04"/>
    <w:rsid w:val="0C5B2AD2"/>
    <w:rsid w:val="0C80DC52"/>
    <w:rsid w:val="0C86C3B7"/>
    <w:rsid w:val="0C98A7D8"/>
    <w:rsid w:val="0CAB5BD6"/>
    <w:rsid w:val="0CBA6F0C"/>
    <w:rsid w:val="0CCCFEA8"/>
    <w:rsid w:val="0CCF3E60"/>
    <w:rsid w:val="0D17CA17"/>
    <w:rsid w:val="0D1E02BC"/>
    <w:rsid w:val="0D255023"/>
    <w:rsid w:val="0D35B663"/>
    <w:rsid w:val="0D54B990"/>
    <w:rsid w:val="0D5C2E87"/>
    <w:rsid w:val="0D8BF98E"/>
    <w:rsid w:val="0D960DC0"/>
    <w:rsid w:val="0DA40603"/>
    <w:rsid w:val="0DABA1BB"/>
    <w:rsid w:val="0DB50D42"/>
    <w:rsid w:val="0DBB597F"/>
    <w:rsid w:val="0DD4A4F5"/>
    <w:rsid w:val="0DF4BBC4"/>
    <w:rsid w:val="0DFF2B4C"/>
    <w:rsid w:val="0E2A6F62"/>
    <w:rsid w:val="0E2BC809"/>
    <w:rsid w:val="0E58C2F0"/>
    <w:rsid w:val="0E71368B"/>
    <w:rsid w:val="0E80DEC5"/>
    <w:rsid w:val="0E87EB38"/>
    <w:rsid w:val="0E9A28CF"/>
    <w:rsid w:val="0E9B89AD"/>
    <w:rsid w:val="0EA74668"/>
    <w:rsid w:val="0EB0CF0C"/>
    <w:rsid w:val="0EC9221B"/>
    <w:rsid w:val="0ECCFB5D"/>
    <w:rsid w:val="0EEC77F6"/>
    <w:rsid w:val="0EF3363F"/>
    <w:rsid w:val="0EFFA5D6"/>
    <w:rsid w:val="0F0ADE0C"/>
    <w:rsid w:val="0F257CEA"/>
    <w:rsid w:val="0F323012"/>
    <w:rsid w:val="0F3A8CBE"/>
    <w:rsid w:val="0F5AAA6E"/>
    <w:rsid w:val="0F5C203A"/>
    <w:rsid w:val="0F606E59"/>
    <w:rsid w:val="0F785E40"/>
    <w:rsid w:val="0F78AC04"/>
    <w:rsid w:val="0F8FAB0F"/>
    <w:rsid w:val="0F9E4459"/>
    <w:rsid w:val="0FA2B586"/>
    <w:rsid w:val="0FB13AAC"/>
    <w:rsid w:val="0FB535CA"/>
    <w:rsid w:val="0FB94F62"/>
    <w:rsid w:val="0FC25925"/>
    <w:rsid w:val="0FCD2371"/>
    <w:rsid w:val="1000F5A6"/>
    <w:rsid w:val="1007F3DB"/>
    <w:rsid w:val="10268568"/>
    <w:rsid w:val="102B7C3C"/>
    <w:rsid w:val="1048CD02"/>
    <w:rsid w:val="1055D276"/>
    <w:rsid w:val="1059BF75"/>
    <w:rsid w:val="1062FD6F"/>
    <w:rsid w:val="1072C097"/>
    <w:rsid w:val="10825BCD"/>
    <w:rsid w:val="109817A4"/>
    <w:rsid w:val="109E4F92"/>
    <w:rsid w:val="10A9C7A3"/>
    <w:rsid w:val="10AFDD92"/>
    <w:rsid w:val="10B49804"/>
    <w:rsid w:val="10BADB1F"/>
    <w:rsid w:val="10DEF5D7"/>
    <w:rsid w:val="10EBE87E"/>
    <w:rsid w:val="10FA6037"/>
    <w:rsid w:val="110EBD17"/>
    <w:rsid w:val="1146519E"/>
    <w:rsid w:val="115E5822"/>
    <w:rsid w:val="11797980"/>
    <w:rsid w:val="117F91CE"/>
    <w:rsid w:val="119A0C05"/>
    <w:rsid w:val="11A93728"/>
    <w:rsid w:val="11B337FE"/>
    <w:rsid w:val="11DC14A9"/>
    <w:rsid w:val="1201F741"/>
    <w:rsid w:val="12065D05"/>
    <w:rsid w:val="1214AF1A"/>
    <w:rsid w:val="122095AA"/>
    <w:rsid w:val="1221C07D"/>
    <w:rsid w:val="1225B1BF"/>
    <w:rsid w:val="1240E4C2"/>
    <w:rsid w:val="125737C4"/>
    <w:rsid w:val="125AE280"/>
    <w:rsid w:val="125FA2A7"/>
    <w:rsid w:val="125FC541"/>
    <w:rsid w:val="1279F9BC"/>
    <w:rsid w:val="128571B0"/>
    <w:rsid w:val="129A60A7"/>
    <w:rsid w:val="12A3BC06"/>
    <w:rsid w:val="12A7A1DE"/>
    <w:rsid w:val="12ABC58F"/>
    <w:rsid w:val="12BAB145"/>
    <w:rsid w:val="12C5ABBD"/>
    <w:rsid w:val="12CF9F0E"/>
    <w:rsid w:val="12DD5A8A"/>
    <w:rsid w:val="12FCCA49"/>
    <w:rsid w:val="130DCEDB"/>
    <w:rsid w:val="133269C2"/>
    <w:rsid w:val="13546E34"/>
    <w:rsid w:val="1357BA46"/>
    <w:rsid w:val="1376A0BB"/>
    <w:rsid w:val="138EE656"/>
    <w:rsid w:val="139D3676"/>
    <w:rsid w:val="13A61FAE"/>
    <w:rsid w:val="13B7FE53"/>
    <w:rsid w:val="13BD7697"/>
    <w:rsid w:val="13F85CC2"/>
    <w:rsid w:val="13F88D59"/>
    <w:rsid w:val="14003DCD"/>
    <w:rsid w:val="140175B8"/>
    <w:rsid w:val="14050EC9"/>
    <w:rsid w:val="144104E6"/>
    <w:rsid w:val="1467DD66"/>
    <w:rsid w:val="14737EE6"/>
    <w:rsid w:val="148EC53B"/>
    <w:rsid w:val="148F1938"/>
    <w:rsid w:val="14ACB19F"/>
    <w:rsid w:val="14B78B70"/>
    <w:rsid w:val="14BD8ABB"/>
    <w:rsid w:val="14EDB285"/>
    <w:rsid w:val="14EE0F02"/>
    <w:rsid w:val="14FDBAE6"/>
    <w:rsid w:val="1515F84C"/>
    <w:rsid w:val="1516774D"/>
    <w:rsid w:val="15399BE6"/>
    <w:rsid w:val="153C3D19"/>
    <w:rsid w:val="1553CBB7"/>
    <w:rsid w:val="15764A39"/>
    <w:rsid w:val="15830498"/>
    <w:rsid w:val="15835249"/>
    <w:rsid w:val="15A0C9C3"/>
    <w:rsid w:val="15AC6ED2"/>
    <w:rsid w:val="15E45FA6"/>
    <w:rsid w:val="15E519BA"/>
    <w:rsid w:val="15F4EC2F"/>
    <w:rsid w:val="15F7465A"/>
    <w:rsid w:val="160493AF"/>
    <w:rsid w:val="162E2CC0"/>
    <w:rsid w:val="164CEF06"/>
    <w:rsid w:val="1664792E"/>
    <w:rsid w:val="167860F6"/>
    <w:rsid w:val="167F994E"/>
    <w:rsid w:val="16811860"/>
    <w:rsid w:val="168B4205"/>
    <w:rsid w:val="16AD03DC"/>
    <w:rsid w:val="16B30F60"/>
    <w:rsid w:val="16B98235"/>
    <w:rsid w:val="16C47202"/>
    <w:rsid w:val="16C9D183"/>
    <w:rsid w:val="16CAF61A"/>
    <w:rsid w:val="16D3EB00"/>
    <w:rsid w:val="16DB37D1"/>
    <w:rsid w:val="16FE5E86"/>
    <w:rsid w:val="1709F71C"/>
    <w:rsid w:val="170F7BC2"/>
    <w:rsid w:val="174ED947"/>
    <w:rsid w:val="175F7E42"/>
    <w:rsid w:val="177A325C"/>
    <w:rsid w:val="17943032"/>
    <w:rsid w:val="179917A9"/>
    <w:rsid w:val="179B0FE7"/>
    <w:rsid w:val="17A47A47"/>
    <w:rsid w:val="17D517D6"/>
    <w:rsid w:val="17E6DD47"/>
    <w:rsid w:val="17FC8BA7"/>
    <w:rsid w:val="1812940F"/>
    <w:rsid w:val="1833AAA9"/>
    <w:rsid w:val="1840B6F6"/>
    <w:rsid w:val="187C35D7"/>
    <w:rsid w:val="18A3393B"/>
    <w:rsid w:val="18F38682"/>
    <w:rsid w:val="190B6E72"/>
    <w:rsid w:val="192C9386"/>
    <w:rsid w:val="1936E82C"/>
    <w:rsid w:val="19447E6E"/>
    <w:rsid w:val="194DED4B"/>
    <w:rsid w:val="19574735"/>
    <w:rsid w:val="196B476D"/>
    <w:rsid w:val="19906EB3"/>
    <w:rsid w:val="199C9F14"/>
    <w:rsid w:val="19BA808C"/>
    <w:rsid w:val="19CBF04C"/>
    <w:rsid w:val="19F57F4E"/>
    <w:rsid w:val="19F9B0D6"/>
    <w:rsid w:val="1A0C752D"/>
    <w:rsid w:val="1A0F40BD"/>
    <w:rsid w:val="1A25807A"/>
    <w:rsid w:val="1A2A4D53"/>
    <w:rsid w:val="1A2D52E3"/>
    <w:rsid w:val="1A62345D"/>
    <w:rsid w:val="1A6A0CC1"/>
    <w:rsid w:val="1A79FEFA"/>
    <w:rsid w:val="1A80285D"/>
    <w:rsid w:val="1AA40C41"/>
    <w:rsid w:val="1AB2C0B8"/>
    <w:rsid w:val="1ABD1F8E"/>
    <w:rsid w:val="1ACF9161"/>
    <w:rsid w:val="1ACFF30C"/>
    <w:rsid w:val="1AD961B3"/>
    <w:rsid w:val="1ADF2272"/>
    <w:rsid w:val="1AFA613C"/>
    <w:rsid w:val="1B163920"/>
    <w:rsid w:val="1B210BD9"/>
    <w:rsid w:val="1B2388F2"/>
    <w:rsid w:val="1B4968EE"/>
    <w:rsid w:val="1B5F8439"/>
    <w:rsid w:val="1B60902D"/>
    <w:rsid w:val="1B687CA1"/>
    <w:rsid w:val="1B76465F"/>
    <w:rsid w:val="1B82D134"/>
    <w:rsid w:val="1BA4A723"/>
    <w:rsid w:val="1BC06012"/>
    <w:rsid w:val="1BC4AF52"/>
    <w:rsid w:val="1BD263B7"/>
    <w:rsid w:val="1BF7DA18"/>
    <w:rsid w:val="1C08FBC6"/>
    <w:rsid w:val="1C180330"/>
    <w:rsid w:val="1C3BB694"/>
    <w:rsid w:val="1C3CA182"/>
    <w:rsid w:val="1C468C76"/>
    <w:rsid w:val="1C470DAB"/>
    <w:rsid w:val="1C51F3AF"/>
    <w:rsid w:val="1C52E707"/>
    <w:rsid w:val="1C8A0940"/>
    <w:rsid w:val="1C8A376D"/>
    <w:rsid w:val="1C9BA460"/>
    <w:rsid w:val="1CB19E43"/>
    <w:rsid w:val="1CB9E1E5"/>
    <w:rsid w:val="1CCF6FAD"/>
    <w:rsid w:val="1CD2C91A"/>
    <w:rsid w:val="1CDB7B96"/>
    <w:rsid w:val="1CF2D281"/>
    <w:rsid w:val="1CF998AA"/>
    <w:rsid w:val="1D0BB2F7"/>
    <w:rsid w:val="1D25293B"/>
    <w:rsid w:val="1D433474"/>
    <w:rsid w:val="1D4E1822"/>
    <w:rsid w:val="1D5AFCAE"/>
    <w:rsid w:val="1D6AD7EF"/>
    <w:rsid w:val="1D736FC2"/>
    <w:rsid w:val="1D8A1BE0"/>
    <w:rsid w:val="1D8AAD2B"/>
    <w:rsid w:val="1D8D6610"/>
    <w:rsid w:val="1D9381A2"/>
    <w:rsid w:val="1D940F03"/>
    <w:rsid w:val="1D9ECD68"/>
    <w:rsid w:val="1DDD3A16"/>
    <w:rsid w:val="1DE680DE"/>
    <w:rsid w:val="1DFA38B9"/>
    <w:rsid w:val="1E2F6628"/>
    <w:rsid w:val="1E488321"/>
    <w:rsid w:val="1E5BEC08"/>
    <w:rsid w:val="1E76E5AD"/>
    <w:rsid w:val="1E7B7E50"/>
    <w:rsid w:val="1E7B7E6F"/>
    <w:rsid w:val="1E80B35A"/>
    <w:rsid w:val="1E848B57"/>
    <w:rsid w:val="1E84B58D"/>
    <w:rsid w:val="1E8F8672"/>
    <w:rsid w:val="1E9276BE"/>
    <w:rsid w:val="1E9BE003"/>
    <w:rsid w:val="1EB64205"/>
    <w:rsid w:val="1EBD41BC"/>
    <w:rsid w:val="1EBDC3D5"/>
    <w:rsid w:val="1EC2A766"/>
    <w:rsid w:val="1EE961B0"/>
    <w:rsid w:val="1EED0931"/>
    <w:rsid w:val="1EF56DA0"/>
    <w:rsid w:val="1EF603CB"/>
    <w:rsid w:val="1F01CB2B"/>
    <w:rsid w:val="1F03EC0E"/>
    <w:rsid w:val="1F272C39"/>
    <w:rsid w:val="1F3350D9"/>
    <w:rsid w:val="1F377239"/>
    <w:rsid w:val="1F497D9E"/>
    <w:rsid w:val="1F49C123"/>
    <w:rsid w:val="1F7B7C1B"/>
    <w:rsid w:val="1F8ACE62"/>
    <w:rsid w:val="1F90A896"/>
    <w:rsid w:val="1FCF0BDF"/>
    <w:rsid w:val="1FD2C11D"/>
    <w:rsid w:val="1FDE4DD7"/>
    <w:rsid w:val="1FE53551"/>
    <w:rsid w:val="20036C47"/>
    <w:rsid w:val="20071743"/>
    <w:rsid w:val="2010C9BD"/>
    <w:rsid w:val="20340425"/>
    <w:rsid w:val="2045855E"/>
    <w:rsid w:val="204ED1D1"/>
    <w:rsid w:val="2071680D"/>
    <w:rsid w:val="208CE4E4"/>
    <w:rsid w:val="2093E4A5"/>
    <w:rsid w:val="20A30C97"/>
    <w:rsid w:val="20A6352C"/>
    <w:rsid w:val="20AB42E1"/>
    <w:rsid w:val="20B98506"/>
    <w:rsid w:val="20C35B14"/>
    <w:rsid w:val="20DEFBC6"/>
    <w:rsid w:val="20DFB0F9"/>
    <w:rsid w:val="20ECF994"/>
    <w:rsid w:val="20FC9D04"/>
    <w:rsid w:val="21001007"/>
    <w:rsid w:val="21016E66"/>
    <w:rsid w:val="2155B2E7"/>
    <w:rsid w:val="2158F09B"/>
    <w:rsid w:val="21A46BF6"/>
    <w:rsid w:val="21CBEC13"/>
    <w:rsid w:val="220B8DC3"/>
    <w:rsid w:val="2221A18E"/>
    <w:rsid w:val="222F7E74"/>
    <w:rsid w:val="222FAFC3"/>
    <w:rsid w:val="22386A3D"/>
    <w:rsid w:val="2239D4D0"/>
    <w:rsid w:val="2240D5B1"/>
    <w:rsid w:val="22412AE4"/>
    <w:rsid w:val="2246FF40"/>
    <w:rsid w:val="22572700"/>
    <w:rsid w:val="225768DE"/>
    <w:rsid w:val="226AC6D7"/>
    <w:rsid w:val="226EF906"/>
    <w:rsid w:val="226FEF06"/>
    <w:rsid w:val="22798CCC"/>
    <w:rsid w:val="227E2AEE"/>
    <w:rsid w:val="22957C32"/>
    <w:rsid w:val="22972543"/>
    <w:rsid w:val="229D4282"/>
    <w:rsid w:val="22AB53BD"/>
    <w:rsid w:val="22C3DC8A"/>
    <w:rsid w:val="22DCB995"/>
    <w:rsid w:val="22DD496F"/>
    <w:rsid w:val="22E971E9"/>
    <w:rsid w:val="231A3959"/>
    <w:rsid w:val="231EF4C8"/>
    <w:rsid w:val="2332AD9E"/>
    <w:rsid w:val="2343CD36"/>
    <w:rsid w:val="23552DDA"/>
    <w:rsid w:val="235DC776"/>
    <w:rsid w:val="236DC9FC"/>
    <w:rsid w:val="236EA8FA"/>
    <w:rsid w:val="237F9D16"/>
    <w:rsid w:val="23BF7126"/>
    <w:rsid w:val="23CC787B"/>
    <w:rsid w:val="240478A9"/>
    <w:rsid w:val="2407B0CB"/>
    <w:rsid w:val="2412A6DB"/>
    <w:rsid w:val="24295550"/>
    <w:rsid w:val="244D96EB"/>
    <w:rsid w:val="244F4EB4"/>
    <w:rsid w:val="2451AAB3"/>
    <w:rsid w:val="2455247E"/>
    <w:rsid w:val="2463A55F"/>
    <w:rsid w:val="24654D89"/>
    <w:rsid w:val="2469D857"/>
    <w:rsid w:val="24748D6F"/>
    <w:rsid w:val="24B7CC89"/>
    <w:rsid w:val="24BB389A"/>
    <w:rsid w:val="24BD9ED8"/>
    <w:rsid w:val="24C0FFD8"/>
    <w:rsid w:val="24C6FD72"/>
    <w:rsid w:val="24C8B25F"/>
    <w:rsid w:val="24D0B1F9"/>
    <w:rsid w:val="24D6B479"/>
    <w:rsid w:val="250B0D1F"/>
    <w:rsid w:val="2514E996"/>
    <w:rsid w:val="251C2FEA"/>
    <w:rsid w:val="251EE0CB"/>
    <w:rsid w:val="251EF604"/>
    <w:rsid w:val="253CAB32"/>
    <w:rsid w:val="2561E690"/>
    <w:rsid w:val="257F2CA3"/>
    <w:rsid w:val="2586E933"/>
    <w:rsid w:val="25956BCF"/>
    <w:rsid w:val="259C0784"/>
    <w:rsid w:val="25AF1FC1"/>
    <w:rsid w:val="25AF9D39"/>
    <w:rsid w:val="25B590DC"/>
    <w:rsid w:val="25B8AEE0"/>
    <w:rsid w:val="25D3F229"/>
    <w:rsid w:val="261B6188"/>
    <w:rsid w:val="261CBBDF"/>
    <w:rsid w:val="26439EBA"/>
    <w:rsid w:val="26562DFB"/>
    <w:rsid w:val="265D71A7"/>
    <w:rsid w:val="267778DC"/>
    <w:rsid w:val="268E0965"/>
    <w:rsid w:val="269FCE1B"/>
    <w:rsid w:val="26A737A2"/>
    <w:rsid w:val="26ADD820"/>
    <w:rsid w:val="26B1FE3E"/>
    <w:rsid w:val="26D00438"/>
    <w:rsid w:val="26D25BAD"/>
    <w:rsid w:val="26E85F65"/>
    <w:rsid w:val="26F0AD1D"/>
    <w:rsid w:val="26FA6742"/>
    <w:rsid w:val="271C3D03"/>
    <w:rsid w:val="2736D741"/>
    <w:rsid w:val="27452E98"/>
    <w:rsid w:val="274D1401"/>
    <w:rsid w:val="27916ACD"/>
    <w:rsid w:val="27918249"/>
    <w:rsid w:val="279D7A1C"/>
    <w:rsid w:val="27A8B55C"/>
    <w:rsid w:val="27D02976"/>
    <w:rsid w:val="27F52DE4"/>
    <w:rsid w:val="2804EDB5"/>
    <w:rsid w:val="280B3557"/>
    <w:rsid w:val="28248AB2"/>
    <w:rsid w:val="2824AA29"/>
    <w:rsid w:val="282E38AD"/>
    <w:rsid w:val="283D703A"/>
    <w:rsid w:val="28753FC3"/>
    <w:rsid w:val="289D94CE"/>
    <w:rsid w:val="28E5FF4F"/>
    <w:rsid w:val="28FBFAF8"/>
    <w:rsid w:val="29107C3E"/>
    <w:rsid w:val="292D8022"/>
    <w:rsid w:val="293409BB"/>
    <w:rsid w:val="293F818A"/>
    <w:rsid w:val="2947C8D1"/>
    <w:rsid w:val="29524AAE"/>
    <w:rsid w:val="298F88F4"/>
    <w:rsid w:val="29A489F5"/>
    <w:rsid w:val="29D1463D"/>
    <w:rsid w:val="29D5D132"/>
    <w:rsid w:val="29E1FD2B"/>
    <w:rsid w:val="29F54ABE"/>
    <w:rsid w:val="29FE50DF"/>
    <w:rsid w:val="29FEBF8B"/>
    <w:rsid w:val="2A0C036F"/>
    <w:rsid w:val="2A13CE08"/>
    <w:rsid w:val="2A176277"/>
    <w:rsid w:val="2A19B3C2"/>
    <w:rsid w:val="2A1A71D6"/>
    <w:rsid w:val="2A1B1330"/>
    <w:rsid w:val="2A21644F"/>
    <w:rsid w:val="2A3E249A"/>
    <w:rsid w:val="2A54C9EB"/>
    <w:rsid w:val="2A5D301D"/>
    <w:rsid w:val="2A706AED"/>
    <w:rsid w:val="2A806B88"/>
    <w:rsid w:val="2A86345B"/>
    <w:rsid w:val="2A957907"/>
    <w:rsid w:val="2AB711B6"/>
    <w:rsid w:val="2AD05CC0"/>
    <w:rsid w:val="2AD2E1BE"/>
    <w:rsid w:val="2AE82163"/>
    <w:rsid w:val="2B109360"/>
    <w:rsid w:val="2B213312"/>
    <w:rsid w:val="2B246110"/>
    <w:rsid w:val="2B4BD6CB"/>
    <w:rsid w:val="2B509529"/>
    <w:rsid w:val="2B599C04"/>
    <w:rsid w:val="2B65550D"/>
    <w:rsid w:val="2B6F4854"/>
    <w:rsid w:val="2B73CCF1"/>
    <w:rsid w:val="2B7BD333"/>
    <w:rsid w:val="2B9C45C1"/>
    <w:rsid w:val="2B9E22BD"/>
    <w:rsid w:val="2BCA3E73"/>
    <w:rsid w:val="2BCED4A6"/>
    <w:rsid w:val="2C078C12"/>
    <w:rsid w:val="2C167E4A"/>
    <w:rsid w:val="2C284CD9"/>
    <w:rsid w:val="2C3F7C71"/>
    <w:rsid w:val="2C64E71E"/>
    <w:rsid w:val="2C8D5594"/>
    <w:rsid w:val="2C90F9D9"/>
    <w:rsid w:val="2C94165C"/>
    <w:rsid w:val="2CA283D8"/>
    <w:rsid w:val="2CA5B5B7"/>
    <w:rsid w:val="2CA805E2"/>
    <w:rsid w:val="2CC188CD"/>
    <w:rsid w:val="2CC9E511"/>
    <w:rsid w:val="2CD1DA4A"/>
    <w:rsid w:val="2CD71E93"/>
    <w:rsid w:val="2CDCD301"/>
    <w:rsid w:val="2CE65716"/>
    <w:rsid w:val="2CEEC5A6"/>
    <w:rsid w:val="2CF51F61"/>
    <w:rsid w:val="2CFC3D2F"/>
    <w:rsid w:val="2D074317"/>
    <w:rsid w:val="2D12BF11"/>
    <w:rsid w:val="2D2162BC"/>
    <w:rsid w:val="2D3377BD"/>
    <w:rsid w:val="2D376E79"/>
    <w:rsid w:val="2D4065A1"/>
    <w:rsid w:val="2D4694FB"/>
    <w:rsid w:val="2D4CC359"/>
    <w:rsid w:val="2D5B12DA"/>
    <w:rsid w:val="2D5D8444"/>
    <w:rsid w:val="2D7991CA"/>
    <w:rsid w:val="2D7B99C5"/>
    <w:rsid w:val="2D8136B4"/>
    <w:rsid w:val="2D8332A2"/>
    <w:rsid w:val="2D8925EB"/>
    <w:rsid w:val="2D963023"/>
    <w:rsid w:val="2DA0740D"/>
    <w:rsid w:val="2DA59E4A"/>
    <w:rsid w:val="2DAA386E"/>
    <w:rsid w:val="2DB0D9A6"/>
    <w:rsid w:val="2DB8068E"/>
    <w:rsid w:val="2DBFDFD0"/>
    <w:rsid w:val="2DCC2EAD"/>
    <w:rsid w:val="2DCCAB7A"/>
    <w:rsid w:val="2DDA2A37"/>
    <w:rsid w:val="2DF4C30E"/>
    <w:rsid w:val="2DFF9CF9"/>
    <w:rsid w:val="2E569241"/>
    <w:rsid w:val="2E84AD45"/>
    <w:rsid w:val="2E99D064"/>
    <w:rsid w:val="2E9A8674"/>
    <w:rsid w:val="2EA1EB04"/>
    <w:rsid w:val="2EA46A46"/>
    <w:rsid w:val="2EAF79CF"/>
    <w:rsid w:val="2EBD488A"/>
    <w:rsid w:val="2EC15ED6"/>
    <w:rsid w:val="2ECC4F12"/>
    <w:rsid w:val="2EDF7124"/>
    <w:rsid w:val="2EE0239B"/>
    <w:rsid w:val="2EE51DDF"/>
    <w:rsid w:val="2EF55D8B"/>
    <w:rsid w:val="2EF74741"/>
    <w:rsid w:val="2EF9A0D0"/>
    <w:rsid w:val="2EFCBC7D"/>
    <w:rsid w:val="2F170F8E"/>
    <w:rsid w:val="2F1F2948"/>
    <w:rsid w:val="2F1F43EF"/>
    <w:rsid w:val="2F2548CA"/>
    <w:rsid w:val="2F2634B0"/>
    <w:rsid w:val="2F29A142"/>
    <w:rsid w:val="2F2B70E3"/>
    <w:rsid w:val="2F2C93FC"/>
    <w:rsid w:val="2F4BAB1E"/>
    <w:rsid w:val="2F9C52C3"/>
    <w:rsid w:val="2FB9ABB5"/>
    <w:rsid w:val="2FD2A909"/>
    <w:rsid w:val="2FD71786"/>
    <w:rsid w:val="3019BA07"/>
    <w:rsid w:val="303879DB"/>
    <w:rsid w:val="304912E2"/>
    <w:rsid w:val="306FA7BA"/>
    <w:rsid w:val="307A0CBC"/>
    <w:rsid w:val="307ECD75"/>
    <w:rsid w:val="3095952B"/>
    <w:rsid w:val="30AA3B13"/>
    <w:rsid w:val="30B32567"/>
    <w:rsid w:val="30B5D3E1"/>
    <w:rsid w:val="30BAF200"/>
    <w:rsid w:val="30D2E2CD"/>
    <w:rsid w:val="30DF9D25"/>
    <w:rsid w:val="30E0EE19"/>
    <w:rsid w:val="30EC58AC"/>
    <w:rsid w:val="30F2FCC0"/>
    <w:rsid w:val="310D29BA"/>
    <w:rsid w:val="310D940E"/>
    <w:rsid w:val="310E6617"/>
    <w:rsid w:val="31410B37"/>
    <w:rsid w:val="315BF8C4"/>
    <w:rsid w:val="315F6E35"/>
    <w:rsid w:val="315F993B"/>
    <w:rsid w:val="31715CE2"/>
    <w:rsid w:val="31747CD1"/>
    <w:rsid w:val="31807D14"/>
    <w:rsid w:val="31927379"/>
    <w:rsid w:val="31966DBE"/>
    <w:rsid w:val="319761F3"/>
    <w:rsid w:val="3197E59A"/>
    <w:rsid w:val="319A81D3"/>
    <w:rsid w:val="31A26070"/>
    <w:rsid w:val="31A5B724"/>
    <w:rsid w:val="31A893DA"/>
    <w:rsid w:val="31BEC3BC"/>
    <w:rsid w:val="31C5D161"/>
    <w:rsid w:val="31D26A51"/>
    <w:rsid w:val="31D2C74A"/>
    <w:rsid w:val="31D91B01"/>
    <w:rsid w:val="31DD3AF8"/>
    <w:rsid w:val="31F9D09E"/>
    <w:rsid w:val="3201D2BD"/>
    <w:rsid w:val="320244CF"/>
    <w:rsid w:val="320541B8"/>
    <w:rsid w:val="320F567A"/>
    <w:rsid w:val="32196A1E"/>
    <w:rsid w:val="321E4052"/>
    <w:rsid w:val="3231CD9D"/>
    <w:rsid w:val="3233F564"/>
    <w:rsid w:val="3234B749"/>
    <w:rsid w:val="32755AD4"/>
    <w:rsid w:val="327CB314"/>
    <w:rsid w:val="328AA051"/>
    <w:rsid w:val="329D57B2"/>
    <w:rsid w:val="32AA7333"/>
    <w:rsid w:val="32ACF19C"/>
    <w:rsid w:val="32B210BF"/>
    <w:rsid w:val="32B82386"/>
    <w:rsid w:val="32BFC104"/>
    <w:rsid w:val="32C60D46"/>
    <w:rsid w:val="32E53273"/>
    <w:rsid w:val="32E6A59F"/>
    <w:rsid w:val="330B342A"/>
    <w:rsid w:val="331DB764"/>
    <w:rsid w:val="332A013A"/>
    <w:rsid w:val="334CDC65"/>
    <w:rsid w:val="3350C688"/>
    <w:rsid w:val="3355B26E"/>
    <w:rsid w:val="33564F5A"/>
    <w:rsid w:val="3366DABC"/>
    <w:rsid w:val="336F6B53"/>
    <w:rsid w:val="337D276E"/>
    <w:rsid w:val="33B93331"/>
    <w:rsid w:val="33BF175B"/>
    <w:rsid w:val="33BF8166"/>
    <w:rsid w:val="33CCE368"/>
    <w:rsid w:val="33D265EB"/>
    <w:rsid w:val="33DC0743"/>
    <w:rsid w:val="33DD17EC"/>
    <w:rsid w:val="34106FBF"/>
    <w:rsid w:val="34290F38"/>
    <w:rsid w:val="342A48CB"/>
    <w:rsid w:val="342C200E"/>
    <w:rsid w:val="343CB539"/>
    <w:rsid w:val="3443A856"/>
    <w:rsid w:val="344C6877"/>
    <w:rsid w:val="34517040"/>
    <w:rsid w:val="345F54C7"/>
    <w:rsid w:val="347B83A8"/>
    <w:rsid w:val="348BA29B"/>
    <w:rsid w:val="349B3BAE"/>
    <w:rsid w:val="34A7778D"/>
    <w:rsid w:val="34DFFD1D"/>
    <w:rsid w:val="34F0A21D"/>
    <w:rsid w:val="35018D09"/>
    <w:rsid w:val="3524447D"/>
    <w:rsid w:val="352AF359"/>
    <w:rsid w:val="352FA799"/>
    <w:rsid w:val="353D2A7E"/>
    <w:rsid w:val="353E638A"/>
    <w:rsid w:val="354F9C18"/>
    <w:rsid w:val="3557116B"/>
    <w:rsid w:val="35586E7F"/>
    <w:rsid w:val="355EE8F9"/>
    <w:rsid w:val="35635011"/>
    <w:rsid w:val="35709B36"/>
    <w:rsid w:val="3573CDD3"/>
    <w:rsid w:val="357D9CDB"/>
    <w:rsid w:val="3583EEBD"/>
    <w:rsid w:val="358B6368"/>
    <w:rsid w:val="35982D6C"/>
    <w:rsid w:val="359C4059"/>
    <w:rsid w:val="35A3BB05"/>
    <w:rsid w:val="35B98C3D"/>
    <w:rsid w:val="35B9BD5D"/>
    <w:rsid w:val="35CA4BC3"/>
    <w:rsid w:val="35ECCD9D"/>
    <w:rsid w:val="35ED86B6"/>
    <w:rsid w:val="35F16FF1"/>
    <w:rsid w:val="361720F3"/>
    <w:rsid w:val="361BC658"/>
    <w:rsid w:val="363CC192"/>
    <w:rsid w:val="3644BDF7"/>
    <w:rsid w:val="3647E178"/>
    <w:rsid w:val="367FFD95"/>
    <w:rsid w:val="36818E81"/>
    <w:rsid w:val="368EDE61"/>
    <w:rsid w:val="36989FE1"/>
    <w:rsid w:val="36A18ED7"/>
    <w:rsid w:val="36A2CEC2"/>
    <w:rsid w:val="36BDDE6C"/>
    <w:rsid w:val="36EB7216"/>
    <w:rsid w:val="37017834"/>
    <w:rsid w:val="3701A079"/>
    <w:rsid w:val="37123A5C"/>
    <w:rsid w:val="3712B903"/>
    <w:rsid w:val="3718833B"/>
    <w:rsid w:val="372D32F7"/>
    <w:rsid w:val="37389379"/>
    <w:rsid w:val="373E772A"/>
    <w:rsid w:val="375042C2"/>
    <w:rsid w:val="37531AD2"/>
    <w:rsid w:val="378AC06D"/>
    <w:rsid w:val="37AA860D"/>
    <w:rsid w:val="37B183D5"/>
    <w:rsid w:val="37B67150"/>
    <w:rsid w:val="37F81675"/>
    <w:rsid w:val="37FD42DF"/>
    <w:rsid w:val="37FE1134"/>
    <w:rsid w:val="380C5430"/>
    <w:rsid w:val="3811FACD"/>
    <w:rsid w:val="38297130"/>
    <w:rsid w:val="382B01F5"/>
    <w:rsid w:val="382B77D2"/>
    <w:rsid w:val="382C205C"/>
    <w:rsid w:val="38313454"/>
    <w:rsid w:val="38642CF0"/>
    <w:rsid w:val="387D0CA6"/>
    <w:rsid w:val="38838D51"/>
    <w:rsid w:val="38875722"/>
    <w:rsid w:val="388B7989"/>
    <w:rsid w:val="3897E90C"/>
    <w:rsid w:val="38BB170C"/>
    <w:rsid w:val="38C27643"/>
    <w:rsid w:val="38C8C88C"/>
    <w:rsid w:val="38DB5BE2"/>
    <w:rsid w:val="3920E673"/>
    <w:rsid w:val="392D90E2"/>
    <w:rsid w:val="393207BA"/>
    <w:rsid w:val="393269D2"/>
    <w:rsid w:val="394B44D0"/>
    <w:rsid w:val="39500671"/>
    <w:rsid w:val="39503BDB"/>
    <w:rsid w:val="3959F33F"/>
    <w:rsid w:val="396851A2"/>
    <w:rsid w:val="396A926A"/>
    <w:rsid w:val="3982CC79"/>
    <w:rsid w:val="39881558"/>
    <w:rsid w:val="398F34D3"/>
    <w:rsid w:val="39A6E594"/>
    <w:rsid w:val="39CF5506"/>
    <w:rsid w:val="39DB4249"/>
    <w:rsid w:val="39DE2CC1"/>
    <w:rsid w:val="39EBFBEC"/>
    <w:rsid w:val="39F4F269"/>
    <w:rsid w:val="39F83EA4"/>
    <w:rsid w:val="39FA7C56"/>
    <w:rsid w:val="3A037309"/>
    <w:rsid w:val="3A052396"/>
    <w:rsid w:val="3A0620C7"/>
    <w:rsid w:val="3A08958E"/>
    <w:rsid w:val="3A0D6645"/>
    <w:rsid w:val="3A1F9834"/>
    <w:rsid w:val="3A409BF2"/>
    <w:rsid w:val="3A53AFA0"/>
    <w:rsid w:val="3A568767"/>
    <w:rsid w:val="3A6F9081"/>
    <w:rsid w:val="3A72BAED"/>
    <w:rsid w:val="3A78CDC5"/>
    <w:rsid w:val="3A87F47F"/>
    <w:rsid w:val="3A8A5065"/>
    <w:rsid w:val="3A8BC22A"/>
    <w:rsid w:val="3A8C832C"/>
    <w:rsid w:val="3A90209F"/>
    <w:rsid w:val="3A9976D1"/>
    <w:rsid w:val="3AA50625"/>
    <w:rsid w:val="3AA8B35A"/>
    <w:rsid w:val="3ABFB9BE"/>
    <w:rsid w:val="3AC6637B"/>
    <w:rsid w:val="3ADDD094"/>
    <w:rsid w:val="3AE1C581"/>
    <w:rsid w:val="3AE60FE6"/>
    <w:rsid w:val="3B0C3A56"/>
    <w:rsid w:val="3B1F5462"/>
    <w:rsid w:val="3B22E7BB"/>
    <w:rsid w:val="3B23227E"/>
    <w:rsid w:val="3B27C7A7"/>
    <w:rsid w:val="3B40CB5F"/>
    <w:rsid w:val="3B446459"/>
    <w:rsid w:val="3B4A20D1"/>
    <w:rsid w:val="3B598EBD"/>
    <w:rsid w:val="3B6E9F44"/>
    <w:rsid w:val="3B78F540"/>
    <w:rsid w:val="3B911A37"/>
    <w:rsid w:val="3BB017F2"/>
    <w:rsid w:val="3BC018C8"/>
    <w:rsid w:val="3BC1A67A"/>
    <w:rsid w:val="3BC27CF0"/>
    <w:rsid w:val="3BC4267E"/>
    <w:rsid w:val="3BD295FC"/>
    <w:rsid w:val="3BD2F100"/>
    <w:rsid w:val="3BD98C8F"/>
    <w:rsid w:val="3BD9B765"/>
    <w:rsid w:val="3BE710C6"/>
    <w:rsid w:val="3BF874B4"/>
    <w:rsid w:val="3BF92FE6"/>
    <w:rsid w:val="3BFE3688"/>
    <w:rsid w:val="3C00706C"/>
    <w:rsid w:val="3C17DF47"/>
    <w:rsid w:val="3C3D1622"/>
    <w:rsid w:val="3C5EBE55"/>
    <w:rsid w:val="3C5F2E97"/>
    <w:rsid w:val="3C676972"/>
    <w:rsid w:val="3C6E4C82"/>
    <w:rsid w:val="3C8C8433"/>
    <w:rsid w:val="3CA09A1B"/>
    <w:rsid w:val="3CA9E028"/>
    <w:rsid w:val="3CAC8253"/>
    <w:rsid w:val="3CF03F3D"/>
    <w:rsid w:val="3CFBD792"/>
    <w:rsid w:val="3D012071"/>
    <w:rsid w:val="3D0E6CDE"/>
    <w:rsid w:val="3D1EAA92"/>
    <w:rsid w:val="3D32DEB7"/>
    <w:rsid w:val="3D480806"/>
    <w:rsid w:val="3D4D9F2B"/>
    <w:rsid w:val="3D539E23"/>
    <w:rsid w:val="3D55C0EE"/>
    <w:rsid w:val="3D6B8C95"/>
    <w:rsid w:val="3D7646E9"/>
    <w:rsid w:val="3D7E0A7C"/>
    <w:rsid w:val="3DA3D529"/>
    <w:rsid w:val="3DC4690D"/>
    <w:rsid w:val="3DD07594"/>
    <w:rsid w:val="3DD8CB23"/>
    <w:rsid w:val="3DEBBD70"/>
    <w:rsid w:val="3DFEA6A2"/>
    <w:rsid w:val="3E0EE771"/>
    <w:rsid w:val="3E44794F"/>
    <w:rsid w:val="3E4ED766"/>
    <w:rsid w:val="3E7FC7AD"/>
    <w:rsid w:val="3E99CE71"/>
    <w:rsid w:val="3E9FF3D2"/>
    <w:rsid w:val="3EB2975A"/>
    <w:rsid w:val="3ECC2D10"/>
    <w:rsid w:val="3EF5C98B"/>
    <w:rsid w:val="3EFB7F30"/>
    <w:rsid w:val="3F1059A1"/>
    <w:rsid w:val="3F1D1913"/>
    <w:rsid w:val="3F1E4BF9"/>
    <w:rsid w:val="3F1F2080"/>
    <w:rsid w:val="3F282C5C"/>
    <w:rsid w:val="3F369BB4"/>
    <w:rsid w:val="3F8C005B"/>
    <w:rsid w:val="3F92BFC5"/>
    <w:rsid w:val="3F99E9F9"/>
    <w:rsid w:val="3FA64CE4"/>
    <w:rsid w:val="3FA6F56F"/>
    <w:rsid w:val="3FB890EB"/>
    <w:rsid w:val="3FBD4814"/>
    <w:rsid w:val="3FC70F9F"/>
    <w:rsid w:val="3FDD60E4"/>
    <w:rsid w:val="3FE75128"/>
    <w:rsid w:val="401492E9"/>
    <w:rsid w:val="401FC128"/>
    <w:rsid w:val="402003A2"/>
    <w:rsid w:val="403C70A9"/>
    <w:rsid w:val="405F7183"/>
    <w:rsid w:val="4065509E"/>
    <w:rsid w:val="406805EA"/>
    <w:rsid w:val="406A5B10"/>
    <w:rsid w:val="40703BEB"/>
    <w:rsid w:val="407408C5"/>
    <w:rsid w:val="407DF237"/>
    <w:rsid w:val="40806B20"/>
    <w:rsid w:val="408672CD"/>
    <w:rsid w:val="40A674CF"/>
    <w:rsid w:val="40B9395C"/>
    <w:rsid w:val="40D59909"/>
    <w:rsid w:val="40DD7FBA"/>
    <w:rsid w:val="40DE16AE"/>
    <w:rsid w:val="40FD528C"/>
    <w:rsid w:val="411DA090"/>
    <w:rsid w:val="4128D6C5"/>
    <w:rsid w:val="41369708"/>
    <w:rsid w:val="4138B979"/>
    <w:rsid w:val="41477FFC"/>
    <w:rsid w:val="4169631C"/>
    <w:rsid w:val="4196FEC4"/>
    <w:rsid w:val="419A3F51"/>
    <w:rsid w:val="41BE11C9"/>
    <w:rsid w:val="41C670F7"/>
    <w:rsid w:val="41EDC5BC"/>
    <w:rsid w:val="4201F306"/>
    <w:rsid w:val="4228A0DE"/>
    <w:rsid w:val="424B487B"/>
    <w:rsid w:val="4263D1D9"/>
    <w:rsid w:val="426DD465"/>
    <w:rsid w:val="4286D877"/>
    <w:rsid w:val="42945F27"/>
    <w:rsid w:val="42E165B4"/>
    <w:rsid w:val="4306CF11"/>
    <w:rsid w:val="43257B3C"/>
    <w:rsid w:val="4325B216"/>
    <w:rsid w:val="432AF489"/>
    <w:rsid w:val="4335691D"/>
    <w:rsid w:val="43380A9F"/>
    <w:rsid w:val="43454100"/>
    <w:rsid w:val="436F8185"/>
    <w:rsid w:val="4389F663"/>
    <w:rsid w:val="43989E85"/>
    <w:rsid w:val="43A3660D"/>
    <w:rsid w:val="43D75144"/>
    <w:rsid w:val="43DB5F48"/>
    <w:rsid w:val="43E827F5"/>
    <w:rsid w:val="43ECA56C"/>
    <w:rsid w:val="43F230CD"/>
    <w:rsid w:val="43F2979E"/>
    <w:rsid w:val="44013710"/>
    <w:rsid w:val="440F1ED6"/>
    <w:rsid w:val="441B04F0"/>
    <w:rsid w:val="441F8C78"/>
    <w:rsid w:val="4426C57F"/>
    <w:rsid w:val="448B152C"/>
    <w:rsid w:val="44910BD9"/>
    <w:rsid w:val="44982A6F"/>
    <w:rsid w:val="44A00714"/>
    <w:rsid w:val="44A02F5B"/>
    <w:rsid w:val="44B40BDB"/>
    <w:rsid w:val="44BF28E8"/>
    <w:rsid w:val="44C2EB17"/>
    <w:rsid w:val="44C7B284"/>
    <w:rsid w:val="44CCF5C8"/>
    <w:rsid w:val="44D035A6"/>
    <w:rsid w:val="44EE0605"/>
    <w:rsid w:val="45030027"/>
    <w:rsid w:val="450C233E"/>
    <w:rsid w:val="451C2D1B"/>
    <w:rsid w:val="451E40CD"/>
    <w:rsid w:val="4574C9DD"/>
    <w:rsid w:val="4576AF3B"/>
    <w:rsid w:val="45A7B465"/>
    <w:rsid w:val="45ACAA27"/>
    <w:rsid w:val="45C0D543"/>
    <w:rsid w:val="45D2B149"/>
    <w:rsid w:val="45EAAC64"/>
    <w:rsid w:val="45FAFC86"/>
    <w:rsid w:val="46143B08"/>
    <w:rsid w:val="461B6C1E"/>
    <w:rsid w:val="46307EC0"/>
    <w:rsid w:val="4639D259"/>
    <w:rsid w:val="4643C668"/>
    <w:rsid w:val="465D941D"/>
    <w:rsid w:val="46607776"/>
    <w:rsid w:val="466C7584"/>
    <w:rsid w:val="467FB4CC"/>
    <w:rsid w:val="4687CEA1"/>
    <w:rsid w:val="46A8289D"/>
    <w:rsid w:val="46CA0704"/>
    <w:rsid w:val="46DBA3C3"/>
    <w:rsid w:val="47109CF7"/>
    <w:rsid w:val="4715232D"/>
    <w:rsid w:val="47407A7E"/>
    <w:rsid w:val="475DF1AC"/>
    <w:rsid w:val="475DF6DE"/>
    <w:rsid w:val="47775044"/>
    <w:rsid w:val="47926B52"/>
    <w:rsid w:val="479BAD37"/>
    <w:rsid w:val="47A5943F"/>
    <w:rsid w:val="47C68B00"/>
    <w:rsid w:val="47D141A0"/>
    <w:rsid w:val="47D64102"/>
    <w:rsid w:val="47F305A3"/>
    <w:rsid w:val="47F8785F"/>
    <w:rsid w:val="481560C1"/>
    <w:rsid w:val="4817FAA8"/>
    <w:rsid w:val="482632D0"/>
    <w:rsid w:val="4842E0B2"/>
    <w:rsid w:val="484FDAE1"/>
    <w:rsid w:val="4858336B"/>
    <w:rsid w:val="48595C73"/>
    <w:rsid w:val="487201A2"/>
    <w:rsid w:val="487C8024"/>
    <w:rsid w:val="487FC5F4"/>
    <w:rsid w:val="48A72777"/>
    <w:rsid w:val="48AA68E2"/>
    <w:rsid w:val="48B67589"/>
    <w:rsid w:val="48C0EE04"/>
    <w:rsid w:val="48D31EF4"/>
    <w:rsid w:val="48DF776E"/>
    <w:rsid w:val="48E77DE0"/>
    <w:rsid w:val="490A1BC3"/>
    <w:rsid w:val="49365FD6"/>
    <w:rsid w:val="494276F7"/>
    <w:rsid w:val="4946A000"/>
    <w:rsid w:val="49560715"/>
    <w:rsid w:val="49581F39"/>
    <w:rsid w:val="496F3C73"/>
    <w:rsid w:val="497EC55D"/>
    <w:rsid w:val="498517C0"/>
    <w:rsid w:val="49ABD326"/>
    <w:rsid w:val="49BD17B6"/>
    <w:rsid w:val="49D3F4D1"/>
    <w:rsid w:val="4A036F60"/>
    <w:rsid w:val="4A0B5378"/>
    <w:rsid w:val="4A106D4C"/>
    <w:rsid w:val="4A18DA83"/>
    <w:rsid w:val="4A2ECC60"/>
    <w:rsid w:val="4A3B0B32"/>
    <w:rsid w:val="4A45223C"/>
    <w:rsid w:val="4A47E722"/>
    <w:rsid w:val="4A488FD8"/>
    <w:rsid w:val="4A718C44"/>
    <w:rsid w:val="4AA1640A"/>
    <w:rsid w:val="4AE13989"/>
    <w:rsid w:val="4AE7AEC3"/>
    <w:rsid w:val="4AE8DAA7"/>
    <w:rsid w:val="4AF44B35"/>
    <w:rsid w:val="4AFA483A"/>
    <w:rsid w:val="4B09B437"/>
    <w:rsid w:val="4B197192"/>
    <w:rsid w:val="4B1FECFA"/>
    <w:rsid w:val="4B25EDD7"/>
    <w:rsid w:val="4B2CFE85"/>
    <w:rsid w:val="4B40F544"/>
    <w:rsid w:val="4B46C7E2"/>
    <w:rsid w:val="4B48FCCE"/>
    <w:rsid w:val="4B6EC8EE"/>
    <w:rsid w:val="4B80F1D3"/>
    <w:rsid w:val="4B9C1F47"/>
    <w:rsid w:val="4BD100EC"/>
    <w:rsid w:val="4BDC7994"/>
    <w:rsid w:val="4C1F0B5D"/>
    <w:rsid w:val="4C263D63"/>
    <w:rsid w:val="4C2EAB33"/>
    <w:rsid w:val="4C48D859"/>
    <w:rsid w:val="4C51BB3D"/>
    <w:rsid w:val="4C637437"/>
    <w:rsid w:val="4C705D79"/>
    <w:rsid w:val="4C77B641"/>
    <w:rsid w:val="4CAAC291"/>
    <w:rsid w:val="4CC10172"/>
    <w:rsid w:val="4CDB96B1"/>
    <w:rsid w:val="4CE5A790"/>
    <w:rsid w:val="4CE92E66"/>
    <w:rsid w:val="4D0EE009"/>
    <w:rsid w:val="4D101D3C"/>
    <w:rsid w:val="4D1650AE"/>
    <w:rsid w:val="4D279D06"/>
    <w:rsid w:val="4D2CDBF7"/>
    <w:rsid w:val="4D32ACE3"/>
    <w:rsid w:val="4D3FE452"/>
    <w:rsid w:val="4D441560"/>
    <w:rsid w:val="4D5447AA"/>
    <w:rsid w:val="4D5FE55B"/>
    <w:rsid w:val="4D6CD940"/>
    <w:rsid w:val="4D81DB0D"/>
    <w:rsid w:val="4D887D6D"/>
    <w:rsid w:val="4D920A37"/>
    <w:rsid w:val="4DA552D0"/>
    <w:rsid w:val="4DD1ABE0"/>
    <w:rsid w:val="4E02899B"/>
    <w:rsid w:val="4E148651"/>
    <w:rsid w:val="4E15D3B8"/>
    <w:rsid w:val="4E2C6BD8"/>
    <w:rsid w:val="4E65273D"/>
    <w:rsid w:val="4E82FC2B"/>
    <w:rsid w:val="4E9011AD"/>
    <w:rsid w:val="4E9EAC7E"/>
    <w:rsid w:val="4EBBC9AD"/>
    <w:rsid w:val="4EBC68D0"/>
    <w:rsid w:val="4EBD0480"/>
    <w:rsid w:val="4EC17719"/>
    <w:rsid w:val="4EC7B799"/>
    <w:rsid w:val="4ED3C068"/>
    <w:rsid w:val="4ED6D2C6"/>
    <w:rsid w:val="4EEBDC0C"/>
    <w:rsid w:val="4F121A24"/>
    <w:rsid w:val="4F28C5F7"/>
    <w:rsid w:val="4F335773"/>
    <w:rsid w:val="4F4D4890"/>
    <w:rsid w:val="4F5808BE"/>
    <w:rsid w:val="4F6E7956"/>
    <w:rsid w:val="4F7AAC19"/>
    <w:rsid w:val="4F84812E"/>
    <w:rsid w:val="4FA444DC"/>
    <w:rsid w:val="4FB91E7D"/>
    <w:rsid w:val="4FBFB334"/>
    <w:rsid w:val="4FD24D38"/>
    <w:rsid w:val="4FEB4304"/>
    <w:rsid w:val="4FFB16D4"/>
    <w:rsid w:val="501C59AF"/>
    <w:rsid w:val="501E2A7B"/>
    <w:rsid w:val="50374258"/>
    <w:rsid w:val="50427B50"/>
    <w:rsid w:val="50466BFB"/>
    <w:rsid w:val="50823D5D"/>
    <w:rsid w:val="5086C9F4"/>
    <w:rsid w:val="508FF879"/>
    <w:rsid w:val="50A68211"/>
    <w:rsid w:val="50B3BF1C"/>
    <w:rsid w:val="50CAB985"/>
    <w:rsid w:val="50E75D75"/>
    <w:rsid w:val="50EA50BF"/>
    <w:rsid w:val="50F0AB77"/>
    <w:rsid w:val="50F4B592"/>
    <w:rsid w:val="50F7E655"/>
    <w:rsid w:val="510C852A"/>
    <w:rsid w:val="51282A90"/>
    <w:rsid w:val="513DD4B9"/>
    <w:rsid w:val="515BFB1B"/>
    <w:rsid w:val="5161137D"/>
    <w:rsid w:val="516BE0BF"/>
    <w:rsid w:val="5171A55C"/>
    <w:rsid w:val="518D9061"/>
    <w:rsid w:val="51993F0B"/>
    <w:rsid w:val="51A1B227"/>
    <w:rsid w:val="51ADCAC9"/>
    <w:rsid w:val="51B73BDD"/>
    <w:rsid w:val="51CC9D02"/>
    <w:rsid w:val="51DDC415"/>
    <w:rsid w:val="51DE9C47"/>
    <w:rsid w:val="51F4E470"/>
    <w:rsid w:val="5208A720"/>
    <w:rsid w:val="520B85D2"/>
    <w:rsid w:val="520FF91C"/>
    <w:rsid w:val="5216C8DD"/>
    <w:rsid w:val="52216DE7"/>
    <w:rsid w:val="526DF865"/>
    <w:rsid w:val="52744BC6"/>
    <w:rsid w:val="527B7512"/>
    <w:rsid w:val="5288CA82"/>
    <w:rsid w:val="5290CBF5"/>
    <w:rsid w:val="5294F500"/>
    <w:rsid w:val="52AC3A60"/>
    <w:rsid w:val="52B7245F"/>
    <w:rsid w:val="52C6A6E9"/>
    <w:rsid w:val="52C93A51"/>
    <w:rsid w:val="52CC6F02"/>
    <w:rsid w:val="52D485A9"/>
    <w:rsid w:val="52D9B379"/>
    <w:rsid w:val="52DAC609"/>
    <w:rsid w:val="52F71856"/>
    <w:rsid w:val="530456B6"/>
    <w:rsid w:val="5323BEC3"/>
    <w:rsid w:val="533FA005"/>
    <w:rsid w:val="533FFFA1"/>
    <w:rsid w:val="53433C72"/>
    <w:rsid w:val="53462198"/>
    <w:rsid w:val="534797A8"/>
    <w:rsid w:val="5351786F"/>
    <w:rsid w:val="535E791A"/>
    <w:rsid w:val="536045CA"/>
    <w:rsid w:val="5382AD2D"/>
    <w:rsid w:val="5389DAA7"/>
    <w:rsid w:val="53A37AD7"/>
    <w:rsid w:val="53AADEC0"/>
    <w:rsid w:val="53CD864A"/>
    <w:rsid w:val="53D1764F"/>
    <w:rsid w:val="53E87170"/>
    <w:rsid w:val="53F6DE3D"/>
    <w:rsid w:val="53F9BBF3"/>
    <w:rsid w:val="540549E1"/>
    <w:rsid w:val="5408CF8E"/>
    <w:rsid w:val="540F9CC9"/>
    <w:rsid w:val="5418F70B"/>
    <w:rsid w:val="541F9074"/>
    <w:rsid w:val="5426BB49"/>
    <w:rsid w:val="542F24F2"/>
    <w:rsid w:val="543F4330"/>
    <w:rsid w:val="54404CEF"/>
    <w:rsid w:val="54625902"/>
    <w:rsid w:val="5463FCE5"/>
    <w:rsid w:val="5488D4A5"/>
    <w:rsid w:val="5498A31D"/>
    <w:rsid w:val="54B3AE57"/>
    <w:rsid w:val="54CC1999"/>
    <w:rsid w:val="54CF8F91"/>
    <w:rsid w:val="54D623C6"/>
    <w:rsid w:val="54F34D23"/>
    <w:rsid w:val="55074763"/>
    <w:rsid w:val="55383F9F"/>
    <w:rsid w:val="554E798B"/>
    <w:rsid w:val="55562CCE"/>
    <w:rsid w:val="555EF5D6"/>
    <w:rsid w:val="55692555"/>
    <w:rsid w:val="5573BC13"/>
    <w:rsid w:val="55895220"/>
    <w:rsid w:val="5592C4C6"/>
    <w:rsid w:val="55B4D326"/>
    <w:rsid w:val="55C1066F"/>
    <w:rsid w:val="55C20F06"/>
    <w:rsid w:val="55C68850"/>
    <w:rsid w:val="55C88FB1"/>
    <w:rsid w:val="55F6587B"/>
    <w:rsid w:val="55F9D646"/>
    <w:rsid w:val="55FCEBCB"/>
    <w:rsid w:val="560D7C45"/>
    <w:rsid w:val="56195F85"/>
    <w:rsid w:val="562F9C45"/>
    <w:rsid w:val="565E21D7"/>
    <w:rsid w:val="566429DB"/>
    <w:rsid w:val="56694B15"/>
    <w:rsid w:val="566A6A7E"/>
    <w:rsid w:val="567E92F1"/>
    <w:rsid w:val="56A51453"/>
    <w:rsid w:val="56A9E7AB"/>
    <w:rsid w:val="56BFD4F4"/>
    <w:rsid w:val="56C3FA53"/>
    <w:rsid w:val="56D0C76B"/>
    <w:rsid w:val="56EC7F99"/>
    <w:rsid w:val="56F621BD"/>
    <w:rsid w:val="56F9DFDE"/>
    <w:rsid w:val="56FE23B8"/>
    <w:rsid w:val="5704F81A"/>
    <w:rsid w:val="5709EAE4"/>
    <w:rsid w:val="57180DA1"/>
    <w:rsid w:val="572149EE"/>
    <w:rsid w:val="573DC910"/>
    <w:rsid w:val="5743D91D"/>
    <w:rsid w:val="57445F91"/>
    <w:rsid w:val="576A9A38"/>
    <w:rsid w:val="5775E135"/>
    <w:rsid w:val="5780AF26"/>
    <w:rsid w:val="578B01C7"/>
    <w:rsid w:val="57C3D9B5"/>
    <w:rsid w:val="57CD8724"/>
    <w:rsid w:val="57D041B2"/>
    <w:rsid w:val="57D0D57D"/>
    <w:rsid w:val="57D770D7"/>
    <w:rsid w:val="57D85F65"/>
    <w:rsid w:val="57E9E244"/>
    <w:rsid w:val="5809EA8D"/>
    <w:rsid w:val="581706AF"/>
    <w:rsid w:val="58223688"/>
    <w:rsid w:val="582C106A"/>
    <w:rsid w:val="5847FE09"/>
    <w:rsid w:val="584B0373"/>
    <w:rsid w:val="5851F2E9"/>
    <w:rsid w:val="58661AAD"/>
    <w:rsid w:val="587EF6A5"/>
    <w:rsid w:val="588A03EB"/>
    <w:rsid w:val="58998211"/>
    <w:rsid w:val="58A36B8E"/>
    <w:rsid w:val="58B9D4B3"/>
    <w:rsid w:val="58C0CCD5"/>
    <w:rsid w:val="58DC2DD8"/>
    <w:rsid w:val="59012DC9"/>
    <w:rsid w:val="5937FBCC"/>
    <w:rsid w:val="5946616E"/>
    <w:rsid w:val="594897C0"/>
    <w:rsid w:val="5953A28A"/>
    <w:rsid w:val="5957BE88"/>
    <w:rsid w:val="596AF637"/>
    <w:rsid w:val="59A00B46"/>
    <w:rsid w:val="59A126C6"/>
    <w:rsid w:val="59AD23AA"/>
    <w:rsid w:val="59B62B3B"/>
    <w:rsid w:val="59CCD0E2"/>
    <w:rsid w:val="59D882F7"/>
    <w:rsid w:val="5A09902C"/>
    <w:rsid w:val="5A2F9C0E"/>
    <w:rsid w:val="5A34BB95"/>
    <w:rsid w:val="5A5CEE69"/>
    <w:rsid w:val="5A6C059A"/>
    <w:rsid w:val="5A706596"/>
    <w:rsid w:val="5A8AB25A"/>
    <w:rsid w:val="5A9D6DD8"/>
    <w:rsid w:val="5AA1C30D"/>
    <w:rsid w:val="5AB1584B"/>
    <w:rsid w:val="5AB6E411"/>
    <w:rsid w:val="5AC027CF"/>
    <w:rsid w:val="5AC52AC4"/>
    <w:rsid w:val="5AC5C30C"/>
    <w:rsid w:val="5ACF5917"/>
    <w:rsid w:val="5AD1C0DF"/>
    <w:rsid w:val="5AE331D3"/>
    <w:rsid w:val="5AF2A3A0"/>
    <w:rsid w:val="5AF7BB7D"/>
    <w:rsid w:val="5B0D4059"/>
    <w:rsid w:val="5B1D060E"/>
    <w:rsid w:val="5B202F86"/>
    <w:rsid w:val="5B35BC92"/>
    <w:rsid w:val="5B3C1E0A"/>
    <w:rsid w:val="5B624B3F"/>
    <w:rsid w:val="5B62D5B8"/>
    <w:rsid w:val="5B899A0B"/>
    <w:rsid w:val="5B8F2F78"/>
    <w:rsid w:val="5B9149BC"/>
    <w:rsid w:val="5B932095"/>
    <w:rsid w:val="5BADD96D"/>
    <w:rsid w:val="5BE2F9CB"/>
    <w:rsid w:val="5BE4B74E"/>
    <w:rsid w:val="5BE5C323"/>
    <w:rsid w:val="5BE6D472"/>
    <w:rsid w:val="5BEA189E"/>
    <w:rsid w:val="5C01636E"/>
    <w:rsid w:val="5C0B15C7"/>
    <w:rsid w:val="5C1F1A5D"/>
    <w:rsid w:val="5C2CC98E"/>
    <w:rsid w:val="5C39997D"/>
    <w:rsid w:val="5C45E3B5"/>
    <w:rsid w:val="5C6149D8"/>
    <w:rsid w:val="5C7C3FB4"/>
    <w:rsid w:val="5C829843"/>
    <w:rsid w:val="5C8852DB"/>
    <w:rsid w:val="5CAF4C24"/>
    <w:rsid w:val="5CD350C7"/>
    <w:rsid w:val="5CE9C111"/>
    <w:rsid w:val="5CF86925"/>
    <w:rsid w:val="5D0755BC"/>
    <w:rsid w:val="5D157EC3"/>
    <w:rsid w:val="5D1E1F5D"/>
    <w:rsid w:val="5D2352EF"/>
    <w:rsid w:val="5D260DAE"/>
    <w:rsid w:val="5D269789"/>
    <w:rsid w:val="5D328C86"/>
    <w:rsid w:val="5D423D9E"/>
    <w:rsid w:val="5D529E4E"/>
    <w:rsid w:val="5D57C24C"/>
    <w:rsid w:val="5D5DF4DE"/>
    <w:rsid w:val="5D5FF3DD"/>
    <w:rsid w:val="5D624927"/>
    <w:rsid w:val="5D6AA765"/>
    <w:rsid w:val="5D6C05A3"/>
    <w:rsid w:val="5D7C3537"/>
    <w:rsid w:val="5D98C4D8"/>
    <w:rsid w:val="5DB22121"/>
    <w:rsid w:val="5DB84A01"/>
    <w:rsid w:val="5DEA6B88"/>
    <w:rsid w:val="5DEB6C79"/>
    <w:rsid w:val="5DF17FD4"/>
    <w:rsid w:val="5DFAC9C4"/>
    <w:rsid w:val="5E164C7A"/>
    <w:rsid w:val="5E370D58"/>
    <w:rsid w:val="5E3C1BE2"/>
    <w:rsid w:val="5E47188E"/>
    <w:rsid w:val="5E5985F2"/>
    <w:rsid w:val="5E82AB5B"/>
    <w:rsid w:val="5E88FB29"/>
    <w:rsid w:val="5E8F4416"/>
    <w:rsid w:val="5EA06B56"/>
    <w:rsid w:val="5EBC8EFD"/>
    <w:rsid w:val="5EC2A687"/>
    <w:rsid w:val="5EC76B71"/>
    <w:rsid w:val="5EDC4A42"/>
    <w:rsid w:val="5EE5C9FD"/>
    <w:rsid w:val="5F0BADFE"/>
    <w:rsid w:val="5F17F415"/>
    <w:rsid w:val="5F4A9763"/>
    <w:rsid w:val="5F4F8D31"/>
    <w:rsid w:val="5F6016AF"/>
    <w:rsid w:val="5F6588A9"/>
    <w:rsid w:val="5F832718"/>
    <w:rsid w:val="5F934997"/>
    <w:rsid w:val="5F99DC1C"/>
    <w:rsid w:val="5FA8CE85"/>
    <w:rsid w:val="5FB0916A"/>
    <w:rsid w:val="5FBA9B62"/>
    <w:rsid w:val="5FCFA093"/>
    <w:rsid w:val="5FE030B4"/>
    <w:rsid w:val="5FE8A7B6"/>
    <w:rsid w:val="5FF6B43E"/>
    <w:rsid w:val="60393CC0"/>
    <w:rsid w:val="603FFBE4"/>
    <w:rsid w:val="60404B02"/>
    <w:rsid w:val="6053B08D"/>
    <w:rsid w:val="605C6835"/>
    <w:rsid w:val="6067E332"/>
    <w:rsid w:val="6073586F"/>
    <w:rsid w:val="6082E4EE"/>
    <w:rsid w:val="60A86A34"/>
    <w:rsid w:val="60BBDB19"/>
    <w:rsid w:val="60C7A319"/>
    <w:rsid w:val="60D9F5EB"/>
    <w:rsid w:val="60E4A27B"/>
    <w:rsid w:val="610B85AB"/>
    <w:rsid w:val="61106C12"/>
    <w:rsid w:val="61134BB9"/>
    <w:rsid w:val="61303E21"/>
    <w:rsid w:val="61325432"/>
    <w:rsid w:val="6134F1DC"/>
    <w:rsid w:val="613B5653"/>
    <w:rsid w:val="616B3400"/>
    <w:rsid w:val="616B5009"/>
    <w:rsid w:val="6172AB2E"/>
    <w:rsid w:val="61768009"/>
    <w:rsid w:val="6178009C"/>
    <w:rsid w:val="6179496B"/>
    <w:rsid w:val="618D52D4"/>
    <w:rsid w:val="61918F0F"/>
    <w:rsid w:val="61AED25E"/>
    <w:rsid w:val="61B75A5C"/>
    <w:rsid w:val="61CA4D44"/>
    <w:rsid w:val="61CD6398"/>
    <w:rsid w:val="61D9BC23"/>
    <w:rsid w:val="61E2E095"/>
    <w:rsid w:val="61E755ED"/>
    <w:rsid w:val="61EC98C4"/>
    <w:rsid w:val="61EF5A16"/>
    <w:rsid w:val="61EF80D4"/>
    <w:rsid w:val="61FA7ECB"/>
    <w:rsid w:val="6201D6D4"/>
    <w:rsid w:val="6208BC3D"/>
    <w:rsid w:val="620DB771"/>
    <w:rsid w:val="622FA15D"/>
    <w:rsid w:val="626CC9D9"/>
    <w:rsid w:val="628D1DA4"/>
    <w:rsid w:val="62920B64"/>
    <w:rsid w:val="6293024F"/>
    <w:rsid w:val="62BD9CCF"/>
    <w:rsid w:val="62C999F8"/>
    <w:rsid w:val="62D0D556"/>
    <w:rsid w:val="62D7F901"/>
    <w:rsid w:val="62E0D752"/>
    <w:rsid w:val="62E6EFBC"/>
    <w:rsid w:val="62F43B8B"/>
    <w:rsid w:val="6307231E"/>
    <w:rsid w:val="63137910"/>
    <w:rsid w:val="632C136E"/>
    <w:rsid w:val="634A1AD2"/>
    <w:rsid w:val="634E1571"/>
    <w:rsid w:val="635D2A89"/>
    <w:rsid w:val="636B219F"/>
    <w:rsid w:val="638DBF6A"/>
    <w:rsid w:val="638F0DCF"/>
    <w:rsid w:val="63918D5A"/>
    <w:rsid w:val="639BFC18"/>
    <w:rsid w:val="63AC986E"/>
    <w:rsid w:val="63AEC6E2"/>
    <w:rsid w:val="63C0D5DF"/>
    <w:rsid w:val="63DCE577"/>
    <w:rsid w:val="63E03F85"/>
    <w:rsid w:val="63EE454E"/>
    <w:rsid w:val="640DA67C"/>
    <w:rsid w:val="642341C1"/>
    <w:rsid w:val="6424E1C7"/>
    <w:rsid w:val="6427A522"/>
    <w:rsid w:val="6436BC03"/>
    <w:rsid w:val="64651E86"/>
    <w:rsid w:val="64813EE4"/>
    <w:rsid w:val="64A9A5CB"/>
    <w:rsid w:val="64EF72B2"/>
    <w:rsid w:val="6515C997"/>
    <w:rsid w:val="65194396"/>
    <w:rsid w:val="6527C256"/>
    <w:rsid w:val="653E7641"/>
    <w:rsid w:val="653FF20E"/>
    <w:rsid w:val="6554A2FF"/>
    <w:rsid w:val="65563804"/>
    <w:rsid w:val="655F9D1D"/>
    <w:rsid w:val="65741A41"/>
    <w:rsid w:val="657510B3"/>
    <w:rsid w:val="65757132"/>
    <w:rsid w:val="657B5B06"/>
    <w:rsid w:val="6593C3F5"/>
    <w:rsid w:val="65AAB288"/>
    <w:rsid w:val="65BBCF29"/>
    <w:rsid w:val="65C3E8B9"/>
    <w:rsid w:val="65CBA7BD"/>
    <w:rsid w:val="65CFF421"/>
    <w:rsid w:val="65D61294"/>
    <w:rsid w:val="65D7BF52"/>
    <w:rsid w:val="65DA020E"/>
    <w:rsid w:val="65DB52AD"/>
    <w:rsid w:val="65DB835E"/>
    <w:rsid w:val="65EA4EE8"/>
    <w:rsid w:val="660E7615"/>
    <w:rsid w:val="660FD78A"/>
    <w:rsid w:val="66129003"/>
    <w:rsid w:val="66347ADA"/>
    <w:rsid w:val="6637FCCA"/>
    <w:rsid w:val="66787089"/>
    <w:rsid w:val="66839365"/>
    <w:rsid w:val="6692F8F1"/>
    <w:rsid w:val="66DE06C3"/>
    <w:rsid w:val="66E63FFC"/>
    <w:rsid w:val="66E78E9B"/>
    <w:rsid w:val="66F3BA14"/>
    <w:rsid w:val="670C8756"/>
    <w:rsid w:val="67141810"/>
    <w:rsid w:val="6726D73D"/>
    <w:rsid w:val="672924B2"/>
    <w:rsid w:val="6756A6ED"/>
    <w:rsid w:val="675AAB93"/>
    <w:rsid w:val="675CAE5E"/>
    <w:rsid w:val="6779FEFF"/>
    <w:rsid w:val="677F3167"/>
    <w:rsid w:val="677F6DEB"/>
    <w:rsid w:val="67B74176"/>
    <w:rsid w:val="67B94AAA"/>
    <w:rsid w:val="67C2C69B"/>
    <w:rsid w:val="67C9DAF6"/>
    <w:rsid w:val="68028664"/>
    <w:rsid w:val="68172EF6"/>
    <w:rsid w:val="682F55D4"/>
    <w:rsid w:val="68376A14"/>
    <w:rsid w:val="686DFF22"/>
    <w:rsid w:val="686EF462"/>
    <w:rsid w:val="6874128F"/>
    <w:rsid w:val="6881080D"/>
    <w:rsid w:val="68996060"/>
    <w:rsid w:val="689BF866"/>
    <w:rsid w:val="68B74401"/>
    <w:rsid w:val="68BC0CE4"/>
    <w:rsid w:val="68C32588"/>
    <w:rsid w:val="68C57005"/>
    <w:rsid w:val="68C84AF1"/>
    <w:rsid w:val="68D5EC6B"/>
    <w:rsid w:val="68D87729"/>
    <w:rsid w:val="68D8B086"/>
    <w:rsid w:val="68DCDDD1"/>
    <w:rsid w:val="68F698FD"/>
    <w:rsid w:val="68F76960"/>
    <w:rsid w:val="6911A713"/>
    <w:rsid w:val="6911D8BF"/>
    <w:rsid w:val="694193D5"/>
    <w:rsid w:val="69457783"/>
    <w:rsid w:val="69548845"/>
    <w:rsid w:val="69715908"/>
    <w:rsid w:val="69898484"/>
    <w:rsid w:val="699FEB0E"/>
    <w:rsid w:val="69A21299"/>
    <w:rsid w:val="69C163C6"/>
    <w:rsid w:val="69C4830F"/>
    <w:rsid w:val="69D6E5A7"/>
    <w:rsid w:val="69D77D0E"/>
    <w:rsid w:val="69D82992"/>
    <w:rsid w:val="69E716CD"/>
    <w:rsid w:val="6A0F02E1"/>
    <w:rsid w:val="6A1F32EF"/>
    <w:rsid w:val="6A26DF36"/>
    <w:rsid w:val="6A4500E2"/>
    <w:rsid w:val="6A6B02AC"/>
    <w:rsid w:val="6A6D2FCF"/>
    <w:rsid w:val="6A70F40A"/>
    <w:rsid w:val="6A7C4F98"/>
    <w:rsid w:val="6A7CCCE5"/>
    <w:rsid w:val="6A806DBD"/>
    <w:rsid w:val="6A80E65E"/>
    <w:rsid w:val="6A9E9575"/>
    <w:rsid w:val="6AC6379A"/>
    <w:rsid w:val="6AC6BF35"/>
    <w:rsid w:val="6AF8E112"/>
    <w:rsid w:val="6AFAFD5D"/>
    <w:rsid w:val="6B0C0FCB"/>
    <w:rsid w:val="6B20F426"/>
    <w:rsid w:val="6B22EDC9"/>
    <w:rsid w:val="6B237E24"/>
    <w:rsid w:val="6B3638EF"/>
    <w:rsid w:val="6B43A42A"/>
    <w:rsid w:val="6B5559C8"/>
    <w:rsid w:val="6B5E05EF"/>
    <w:rsid w:val="6B646B04"/>
    <w:rsid w:val="6B66657C"/>
    <w:rsid w:val="6B6DF735"/>
    <w:rsid w:val="6B6F9887"/>
    <w:rsid w:val="6B706258"/>
    <w:rsid w:val="6B7D8D57"/>
    <w:rsid w:val="6B7E8D20"/>
    <w:rsid w:val="6B97B1B3"/>
    <w:rsid w:val="6BBB608A"/>
    <w:rsid w:val="6BC909F3"/>
    <w:rsid w:val="6BE28A03"/>
    <w:rsid w:val="6C05A795"/>
    <w:rsid w:val="6C19841E"/>
    <w:rsid w:val="6C30A84B"/>
    <w:rsid w:val="6C3A06BF"/>
    <w:rsid w:val="6C42CE13"/>
    <w:rsid w:val="6C8F611C"/>
    <w:rsid w:val="6C91D390"/>
    <w:rsid w:val="6CAD6F21"/>
    <w:rsid w:val="6CB0B3F9"/>
    <w:rsid w:val="6CB66013"/>
    <w:rsid w:val="6CBEDB7C"/>
    <w:rsid w:val="6CC9E787"/>
    <w:rsid w:val="6CCB44C8"/>
    <w:rsid w:val="6CCE7BFC"/>
    <w:rsid w:val="6CD79FBD"/>
    <w:rsid w:val="6CF375B9"/>
    <w:rsid w:val="6CFBFA59"/>
    <w:rsid w:val="6D0EC136"/>
    <w:rsid w:val="6D163299"/>
    <w:rsid w:val="6D19101F"/>
    <w:rsid w:val="6D32B1D7"/>
    <w:rsid w:val="6D47BA3E"/>
    <w:rsid w:val="6D47D1D1"/>
    <w:rsid w:val="6D796410"/>
    <w:rsid w:val="6D911A1A"/>
    <w:rsid w:val="6D9184D2"/>
    <w:rsid w:val="6DAA896C"/>
    <w:rsid w:val="6DADEAB3"/>
    <w:rsid w:val="6DAF1BAA"/>
    <w:rsid w:val="6DBD27A8"/>
    <w:rsid w:val="6DC6B2A4"/>
    <w:rsid w:val="6DC80B93"/>
    <w:rsid w:val="6DD8A6B3"/>
    <w:rsid w:val="6DDBB840"/>
    <w:rsid w:val="6DF399AB"/>
    <w:rsid w:val="6DFF8C1A"/>
    <w:rsid w:val="6E158903"/>
    <w:rsid w:val="6E2EF841"/>
    <w:rsid w:val="6E56EBCD"/>
    <w:rsid w:val="6E6EDC30"/>
    <w:rsid w:val="6E6F0ABC"/>
    <w:rsid w:val="6E9AE98D"/>
    <w:rsid w:val="6EA5E0C2"/>
    <w:rsid w:val="6EA8BB72"/>
    <w:rsid w:val="6EAC5175"/>
    <w:rsid w:val="6EAD20BE"/>
    <w:rsid w:val="6EBF2CC7"/>
    <w:rsid w:val="6EC02AD8"/>
    <w:rsid w:val="6EC25A3D"/>
    <w:rsid w:val="6EC4625E"/>
    <w:rsid w:val="6EDD0C7A"/>
    <w:rsid w:val="6EE3CB8F"/>
    <w:rsid w:val="6EE54F1A"/>
    <w:rsid w:val="6EEEB76C"/>
    <w:rsid w:val="6EF1DBC6"/>
    <w:rsid w:val="6EF67FF4"/>
    <w:rsid w:val="6EFA3056"/>
    <w:rsid w:val="6F175F77"/>
    <w:rsid w:val="6F1ED7FE"/>
    <w:rsid w:val="6F2CED76"/>
    <w:rsid w:val="6F568A18"/>
    <w:rsid w:val="6F644ED4"/>
    <w:rsid w:val="6F6F7DEB"/>
    <w:rsid w:val="6F78B430"/>
    <w:rsid w:val="6F859D17"/>
    <w:rsid w:val="6F8D3D21"/>
    <w:rsid w:val="6F9CC546"/>
    <w:rsid w:val="6FB862E5"/>
    <w:rsid w:val="6FCBAFBF"/>
    <w:rsid w:val="6FDE959C"/>
    <w:rsid w:val="6FF54DAE"/>
    <w:rsid w:val="70101AEE"/>
    <w:rsid w:val="702C8464"/>
    <w:rsid w:val="70507C0C"/>
    <w:rsid w:val="70B45D6B"/>
    <w:rsid w:val="70C58E9A"/>
    <w:rsid w:val="70C59CA3"/>
    <w:rsid w:val="70D30D06"/>
    <w:rsid w:val="70DA9074"/>
    <w:rsid w:val="70E4FBB1"/>
    <w:rsid w:val="70E829C5"/>
    <w:rsid w:val="71093D2A"/>
    <w:rsid w:val="7113DBA9"/>
    <w:rsid w:val="711F7FDF"/>
    <w:rsid w:val="71C21FE6"/>
    <w:rsid w:val="71C78E9C"/>
    <w:rsid w:val="71D975B1"/>
    <w:rsid w:val="71E43BA2"/>
    <w:rsid w:val="71E6274E"/>
    <w:rsid w:val="71F9D9C0"/>
    <w:rsid w:val="721ADA84"/>
    <w:rsid w:val="7225A932"/>
    <w:rsid w:val="723BCDDD"/>
    <w:rsid w:val="7250486B"/>
    <w:rsid w:val="7261ACB2"/>
    <w:rsid w:val="727B8760"/>
    <w:rsid w:val="72993E33"/>
    <w:rsid w:val="72B8E107"/>
    <w:rsid w:val="72C9E593"/>
    <w:rsid w:val="7303982C"/>
    <w:rsid w:val="73144884"/>
    <w:rsid w:val="73188B9A"/>
    <w:rsid w:val="732927B1"/>
    <w:rsid w:val="7333B9E4"/>
    <w:rsid w:val="7341B323"/>
    <w:rsid w:val="734D4BE0"/>
    <w:rsid w:val="735F8F36"/>
    <w:rsid w:val="7367B3B3"/>
    <w:rsid w:val="7377921A"/>
    <w:rsid w:val="73816434"/>
    <w:rsid w:val="73A41265"/>
    <w:rsid w:val="73AA76E9"/>
    <w:rsid w:val="73BD1AEB"/>
    <w:rsid w:val="73C2538A"/>
    <w:rsid w:val="73D1D17C"/>
    <w:rsid w:val="73D7C757"/>
    <w:rsid w:val="73DD3883"/>
    <w:rsid w:val="73E4832A"/>
    <w:rsid w:val="73E9D91B"/>
    <w:rsid w:val="740B5810"/>
    <w:rsid w:val="740F2934"/>
    <w:rsid w:val="7416983B"/>
    <w:rsid w:val="7420FDD6"/>
    <w:rsid w:val="742AD94D"/>
    <w:rsid w:val="74590E3D"/>
    <w:rsid w:val="746158B3"/>
    <w:rsid w:val="7468AEB8"/>
    <w:rsid w:val="7468E273"/>
    <w:rsid w:val="7475AF56"/>
    <w:rsid w:val="749DA4A7"/>
    <w:rsid w:val="74C16F10"/>
    <w:rsid w:val="7509BE14"/>
    <w:rsid w:val="750BCEA3"/>
    <w:rsid w:val="75193F21"/>
    <w:rsid w:val="75214B1C"/>
    <w:rsid w:val="753A558B"/>
    <w:rsid w:val="7551437A"/>
    <w:rsid w:val="7551DA2C"/>
    <w:rsid w:val="75578DAA"/>
    <w:rsid w:val="7576ECC5"/>
    <w:rsid w:val="757A7733"/>
    <w:rsid w:val="757D56B4"/>
    <w:rsid w:val="757D964F"/>
    <w:rsid w:val="7587DD30"/>
    <w:rsid w:val="758B0659"/>
    <w:rsid w:val="75AEA65A"/>
    <w:rsid w:val="75B1F2C0"/>
    <w:rsid w:val="75B75E10"/>
    <w:rsid w:val="75C08330"/>
    <w:rsid w:val="75C30667"/>
    <w:rsid w:val="75E26BA1"/>
    <w:rsid w:val="7601F9D8"/>
    <w:rsid w:val="76267D3A"/>
    <w:rsid w:val="7638A6EC"/>
    <w:rsid w:val="763EF0D0"/>
    <w:rsid w:val="7647E2C1"/>
    <w:rsid w:val="7652E58A"/>
    <w:rsid w:val="765ABBD5"/>
    <w:rsid w:val="765D3BE1"/>
    <w:rsid w:val="7660698E"/>
    <w:rsid w:val="76673774"/>
    <w:rsid w:val="76885762"/>
    <w:rsid w:val="7690B084"/>
    <w:rsid w:val="76B0857B"/>
    <w:rsid w:val="76B0FB7E"/>
    <w:rsid w:val="76C02BA7"/>
    <w:rsid w:val="76E61A7A"/>
    <w:rsid w:val="76FF4FD1"/>
    <w:rsid w:val="77088C49"/>
    <w:rsid w:val="770F3760"/>
    <w:rsid w:val="77244525"/>
    <w:rsid w:val="772A5C23"/>
    <w:rsid w:val="7730B82E"/>
    <w:rsid w:val="774B85D6"/>
    <w:rsid w:val="774D921D"/>
    <w:rsid w:val="775396E7"/>
    <w:rsid w:val="775FDDFD"/>
    <w:rsid w:val="7776F0BE"/>
    <w:rsid w:val="7780CEE2"/>
    <w:rsid w:val="779F12B4"/>
    <w:rsid w:val="77A6410D"/>
    <w:rsid w:val="77AD68E8"/>
    <w:rsid w:val="77BAB24F"/>
    <w:rsid w:val="77E06F04"/>
    <w:rsid w:val="77EF3C56"/>
    <w:rsid w:val="77F026A1"/>
    <w:rsid w:val="77FA9451"/>
    <w:rsid w:val="780CBBAF"/>
    <w:rsid w:val="782906B2"/>
    <w:rsid w:val="78311935"/>
    <w:rsid w:val="78421F22"/>
    <w:rsid w:val="78545942"/>
    <w:rsid w:val="7858B36B"/>
    <w:rsid w:val="78594B3B"/>
    <w:rsid w:val="785C506A"/>
    <w:rsid w:val="7861F066"/>
    <w:rsid w:val="788E25E1"/>
    <w:rsid w:val="789A869D"/>
    <w:rsid w:val="78AAC40D"/>
    <w:rsid w:val="78B09773"/>
    <w:rsid w:val="78B3E795"/>
    <w:rsid w:val="78C21042"/>
    <w:rsid w:val="78D30105"/>
    <w:rsid w:val="78F6FF57"/>
    <w:rsid w:val="78FA2448"/>
    <w:rsid w:val="78FE2092"/>
    <w:rsid w:val="790BEA46"/>
    <w:rsid w:val="79122847"/>
    <w:rsid w:val="793CD342"/>
    <w:rsid w:val="794BE625"/>
    <w:rsid w:val="794D3DCF"/>
    <w:rsid w:val="795B699F"/>
    <w:rsid w:val="79766322"/>
    <w:rsid w:val="798369FC"/>
    <w:rsid w:val="79885783"/>
    <w:rsid w:val="79988238"/>
    <w:rsid w:val="799A1987"/>
    <w:rsid w:val="79B32035"/>
    <w:rsid w:val="79E37122"/>
    <w:rsid w:val="79E91311"/>
    <w:rsid w:val="7A01B515"/>
    <w:rsid w:val="7A119D25"/>
    <w:rsid w:val="7A26F7BD"/>
    <w:rsid w:val="7A34F8B4"/>
    <w:rsid w:val="7A3C0E85"/>
    <w:rsid w:val="7A44C5E5"/>
    <w:rsid w:val="7A59DD87"/>
    <w:rsid w:val="7A70F8FA"/>
    <w:rsid w:val="7A7A7F94"/>
    <w:rsid w:val="7A930BB9"/>
    <w:rsid w:val="7A953C5E"/>
    <w:rsid w:val="7AB7300D"/>
    <w:rsid w:val="7ABD2B75"/>
    <w:rsid w:val="7AD5B634"/>
    <w:rsid w:val="7AF79C40"/>
    <w:rsid w:val="7B0819E9"/>
    <w:rsid w:val="7B1BB6B5"/>
    <w:rsid w:val="7B4073F8"/>
    <w:rsid w:val="7B510DB7"/>
    <w:rsid w:val="7B5DCE2E"/>
    <w:rsid w:val="7B8BEB8A"/>
    <w:rsid w:val="7B96D4C3"/>
    <w:rsid w:val="7B985407"/>
    <w:rsid w:val="7BA0555A"/>
    <w:rsid w:val="7BAE3971"/>
    <w:rsid w:val="7BB135E3"/>
    <w:rsid w:val="7BB514B4"/>
    <w:rsid w:val="7BC5AA6D"/>
    <w:rsid w:val="7BDB229E"/>
    <w:rsid w:val="7BDDD131"/>
    <w:rsid w:val="7BF32A4D"/>
    <w:rsid w:val="7C2BE95E"/>
    <w:rsid w:val="7C41F61D"/>
    <w:rsid w:val="7C47C767"/>
    <w:rsid w:val="7C65BE53"/>
    <w:rsid w:val="7C69870A"/>
    <w:rsid w:val="7C6E01A0"/>
    <w:rsid w:val="7C77DF26"/>
    <w:rsid w:val="7C7F32DB"/>
    <w:rsid w:val="7CA03EE8"/>
    <w:rsid w:val="7CA0FAA0"/>
    <w:rsid w:val="7CA1A1C6"/>
    <w:rsid w:val="7CC926D1"/>
    <w:rsid w:val="7CDF1D01"/>
    <w:rsid w:val="7CF19B50"/>
    <w:rsid w:val="7CFB4E46"/>
    <w:rsid w:val="7D010E62"/>
    <w:rsid w:val="7D06F134"/>
    <w:rsid w:val="7D1EB122"/>
    <w:rsid w:val="7D1FD7FE"/>
    <w:rsid w:val="7D3302D7"/>
    <w:rsid w:val="7D3996EE"/>
    <w:rsid w:val="7D58C43F"/>
    <w:rsid w:val="7D8F34D7"/>
    <w:rsid w:val="7DA31172"/>
    <w:rsid w:val="7DA89052"/>
    <w:rsid w:val="7DA92878"/>
    <w:rsid w:val="7DB8B237"/>
    <w:rsid w:val="7DC6F2C8"/>
    <w:rsid w:val="7DD90F54"/>
    <w:rsid w:val="7DE77F97"/>
    <w:rsid w:val="7E30EFFE"/>
    <w:rsid w:val="7E350B22"/>
    <w:rsid w:val="7E501DBB"/>
    <w:rsid w:val="7E554D2A"/>
    <w:rsid w:val="7E5A0789"/>
    <w:rsid w:val="7E6BFA73"/>
    <w:rsid w:val="7E770CFC"/>
    <w:rsid w:val="7E7BD203"/>
    <w:rsid w:val="7E8AA166"/>
    <w:rsid w:val="7EC908D2"/>
    <w:rsid w:val="7F028A9A"/>
    <w:rsid w:val="7F1CC1E2"/>
    <w:rsid w:val="7F2ACDCA"/>
    <w:rsid w:val="7F3B7E8F"/>
    <w:rsid w:val="7F4EA660"/>
    <w:rsid w:val="7F662251"/>
    <w:rsid w:val="7F6A2EF7"/>
    <w:rsid w:val="7F880194"/>
    <w:rsid w:val="7F8D072E"/>
    <w:rsid w:val="7FA454C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2664F"/>
  <w15:chartTrackingRefBased/>
  <w15:docId w15:val="{D2A6A089-9130-4224-AAB2-BB130981B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557"/>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uiPriority w:val="9"/>
    <w:qFormat/>
    <w:rsid w:val="00C30FD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30FD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20651"/>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semiHidden/>
    <w:unhideWhenUsed/>
    <w:qFormat/>
    <w:rsid w:val="00B2065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Párrafo de lista1,Ha,titulo 3,Bullets,Bolita,Lista vistosa - Énfasis 11,Cuadrícula media 1 - Énfasis 21,Pбrrafo de lista,EITI list,Párrafo,Colorful List Accent 1,Colorful List - Accent 11,Bullet List,HOJA,Lista viñeta,lp1"/>
    <w:basedOn w:val="Normal"/>
    <w:link w:val="PrrafodelistaCar"/>
    <w:uiPriority w:val="34"/>
    <w:qFormat/>
    <w:rsid w:val="000C4AE0"/>
    <w:pPr>
      <w:ind w:left="720"/>
      <w:contextualSpacing/>
    </w:pPr>
  </w:style>
  <w:style w:type="paragraph" w:customStyle="1" w:styleId="p1">
    <w:name w:val="p1"/>
    <w:basedOn w:val="Normal"/>
    <w:rsid w:val="000C4AE0"/>
    <w:pPr>
      <w:spacing w:before="100" w:beforeAutospacing="1" w:after="100" w:afterAutospacing="1"/>
    </w:pPr>
  </w:style>
  <w:style w:type="character" w:customStyle="1" w:styleId="s1">
    <w:name w:val="s1"/>
    <w:rsid w:val="0363BEB3"/>
  </w:style>
  <w:style w:type="character" w:customStyle="1" w:styleId="s2">
    <w:name w:val="s2"/>
    <w:rsid w:val="0363BEB3"/>
  </w:style>
  <w:style w:type="character" w:customStyle="1" w:styleId="PrrafodelistaCar">
    <w:name w:val="Párrafo de lista Car"/>
    <w:aliases w:val="Párrafo de lista1 Car,Ha Car,titulo 3 Car,Bullets Car,Bolita Car,Lista vistosa - Énfasis 11 Car,Cuadrícula media 1 - Énfasis 21 Car,Pбrrafo de lista Car,EITI list Car,Párrafo Car,Colorful List Accent 1 Car,Bullet List Car,HOJA Car"/>
    <w:link w:val="Prrafodelista"/>
    <w:uiPriority w:val="34"/>
    <w:qFormat/>
    <w:rsid w:val="000C4AE0"/>
    <w:rPr>
      <w:kern w:val="2"/>
      <w:sz w:val="24"/>
      <w:szCs w:val="24"/>
      <w:lang w:val="es-ES_tradnl"/>
      <w14:ligatures w14:val="standardContextual"/>
    </w:rPr>
  </w:style>
  <w:style w:type="paragraph" w:styleId="NormalWeb">
    <w:name w:val="Normal (Web)"/>
    <w:basedOn w:val="Normal"/>
    <w:uiPriority w:val="99"/>
    <w:rsid w:val="000C4AE0"/>
    <w:pPr>
      <w:suppressAutoHyphens/>
      <w:autoSpaceDN w:val="0"/>
      <w:spacing w:before="280" w:after="280"/>
      <w:textAlignment w:val="baseline"/>
    </w:pPr>
    <w:rPr>
      <w:kern w:val="3"/>
      <w:lang w:eastAsia="zh-CN"/>
    </w:rPr>
  </w:style>
  <w:style w:type="paragraph" w:styleId="Textoindependiente">
    <w:name w:val="Body Text"/>
    <w:basedOn w:val="Normal"/>
    <w:link w:val="TextoindependienteCar"/>
    <w:uiPriority w:val="1"/>
    <w:qFormat/>
    <w:rsid w:val="000C4AE0"/>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link w:val="Textoindependiente"/>
    <w:uiPriority w:val="1"/>
    <w:rsid w:val="0363BEB3"/>
    <w:rPr>
      <w:rFonts w:ascii="Arial MT" w:eastAsia="Arial MT" w:hAnsi="Arial MT" w:cs="Arial MT"/>
      <w:lang w:val="es-ES"/>
    </w:rPr>
  </w:style>
  <w:style w:type="paragraph" w:customStyle="1" w:styleId="Default">
    <w:name w:val="Default"/>
    <w:rsid w:val="000C4AE0"/>
    <w:pPr>
      <w:autoSpaceDE w:val="0"/>
      <w:autoSpaceDN w:val="0"/>
      <w:adjustRightInd w:val="0"/>
      <w:spacing w:after="0" w:line="240" w:lineRule="auto"/>
    </w:pPr>
    <w:rPr>
      <w:rFonts w:ascii="Times New Roman" w:hAnsi="Times New Roman" w:cs="Times New Roman"/>
      <w:color w:val="000000"/>
      <w:sz w:val="24"/>
      <w:szCs w:val="24"/>
    </w:rPr>
  </w:style>
  <w:style w:type="table" w:styleId="Tablaconcuadrculaclara">
    <w:name w:val="Grid Table Light"/>
    <w:basedOn w:val="Tablanormal"/>
    <w:uiPriority w:val="40"/>
    <w:rsid w:val="007013EA"/>
    <w:pPr>
      <w:spacing w:after="0" w:line="240" w:lineRule="auto"/>
    </w:pPr>
    <w:rPr>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5">
    <w:name w:val="15"/>
    <w:uiPriority w:val="1"/>
    <w:rsid w:val="0363BEB3"/>
    <w:rPr>
      <w:rFonts w:ascii="Calibri" w:hAnsi="Calibri" w:cs="Calibri"/>
      <w:color w:val="0563C1"/>
      <w:u w:val="single"/>
    </w:rPr>
  </w:style>
  <w:style w:type="character" w:styleId="Hipervnculo">
    <w:name w:val="Hyperlink"/>
    <w:uiPriority w:val="99"/>
    <w:unhideWhenUsed/>
    <w:rsid w:val="0363BEB3"/>
    <w:rPr>
      <w:color w:val="0563C1"/>
      <w:u w:val="single"/>
    </w:rPr>
  </w:style>
  <w:style w:type="character" w:styleId="Refdecomentario">
    <w:name w:val="annotation reference"/>
    <w:uiPriority w:val="99"/>
    <w:semiHidden/>
    <w:unhideWhenUsed/>
    <w:rsid w:val="0363BEB3"/>
    <w:rPr>
      <w:sz w:val="16"/>
      <w:szCs w:val="16"/>
    </w:rPr>
  </w:style>
  <w:style w:type="paragraph" w:styleId="Textocomentario">
    <w:name w:val="annotation text"/>
    <w:basedOn w:val="Normal"/>
    <w:link w:val="TextocomentarioCar"/>
    <w:uiPriority w:val="99"/>
    <w:unhideWhenUsed/>
    <w:rsid w:val="00214929"/>
    <w:pPr>
      <w:spacing w:after="160"/>
    </w:pPr>
    <w:rPr>
      <w:sz w:val="20"/>
      <w:szCs w:val="20"/>
    </w:rPr>
  </w:style>
  <w:style w:type="character" w:customStyle="1" w:styleId="TextocomentarioCar">
    <w:name w:val="Texto comentario Car"/>
    <w:link w:val="Textocomentario"/>
    <w:uiPriority w:val="99"/>
    <w:rsid w:val="0363BEB3"/>
    <w:rPr>
      <w:sz w:val="20"/>
      <w:szCs w:val="20"/>
    </w:rPr>
  </w:style>
  <w:style w:type="paragraph" w:styleId="Sinespaciado">
    <w:name w:val="No Spacing"/>
    <w:uiPriority w:val="1"/>
    <w:qFormat/>
    <w:rsid w:val="00214929"/>
    <w:pPr>
      <w:spacing w:after="0" w:line="240" w:lineRule="auto"/>
    </w:pPr>
    <w:rPr>
      <w:kern w:val="2"/>
      <w14:ligatures w14:val="standardContextual"/>
    </w:rPr>
  </w:style>
  <w:style w:type="paragraph" w:styleId="Textodeglobo">
    <w:name w:val="Balloon Text"/>
    <w:basedOn w:val="Normal"/>
    <w:link w:val="TextodegloboCar"/>
    <w:uiPriority w:val="99"/>
    <w:semiHidden/>
    <w:unhideWhenUsed/>
    <w:rsid w:val="00214929"/>
    <w:rPr>
      <w:rFonts w:ascii="Segoe UI" w:hAnsi="Segoe UI" w:cs="Segoe UI"/>
      <w:sz w:val="18"/>
      <w:szCs w:val="18"/>
    </w:rPr>
  </w:style>
  <w:style w:type="character" w:customStyle="1" w:styleId="TextodegloboCar">
    <w:name w:val="Texto de globo Car"/>
    <w:link w:val="Textodeglobo"/>
    <w:uiPriority w:val="99"/>
    <w:semiHidden/>
    <w:rsid w:val="0363BEB3"/>
    <w:rPr>
      <w:rFonts w:ascii="Segoe UI" w:hAnsi="Segoe UI" w:cs="Segoe UI"/>
      <w:sz w:val="18"/>
      <w:szCs w:val="18"/>
      <w:lang w:val="es-ES"/>
    </w:rPr>
  </w:style>
  <w:style w:type="table" w:styleId="Tablaconcuadrcula">
    <w:name w:val="Table Grid"/>
    <w:basedOn w:val="Tablanormal"/>
    <w:uiPriority w:val="39"/>
    <w:rsid w:val="004D23E1"/>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1"/>
    <w:rsid w:val="0363BEB3"/>
  </w:style>
  <w:style w:type="character" w:styleId="Textoennegrita">
    <w:name w:val="Strong"/>
    <w:uiPriority w:val="22"/>
    <w:qFormat/>
    <w:rsid w:val="0363BEB3"/>
    <w:rPr>
      <w:b/>
      <w:bCs/>
    </w:rPr>
  </w:style>
  <w:style w:type="character" w:customStyle="1" w:styleId="Ttulo1Car">
    <w:name w:val="Título 1 Car"/>
    <w:link w:val="Ttulo1"/>
    <w:uiPriority w:val="9"/>
    <w:rsid w:val="0363BEB3"/>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link w:val="Ttulo2"/>
    <w:uiPriority w:val="9"/>
    <w:rsid w:val="0363BEB3"/>
    <w:rPr>
      <w:rFonts w:asciiTheme="majorHAnsi" w:eastAsiaTheme="majorEastAsia" w:hAnsiTheme="majorHAnsi" w:cstheme="majorBidi"/>
      <w:color w:val="2E74B5" w:themeColor="accent1" w:themeShade="BF"/>
      <w:sz w:val="26"/>
      <w:szCs w:val="26"/>
      <w:lang w:val="es-ES"/>
    </w:rPr>
  </w:style>
  <w:style w:type="paragraph" w:styleId="TtuloTDC">
    <w:name w:val="TOC Heading"/>
    <w:basedOn w:val="Ttulo1"/>
    <w:next w:val="Normal"/>
    <w:uiPriority w:val="39"/>
    <w:unhideWhenUsed/>
    <w:qFormat/>
    <w:rsid w:val="00C30FD4"/>
    <w:pPr>
      <w:spacing w:line="259" w:lineRule="auto"/>
      <w:outlineLvl w:val="9"/>
    </w:pPr>
    <w:rPr>
      <w:lang w:eastAsia="es-CO"/>
    </w:rPr>
  </w:style>
  <w:style w:type="paragraph" w:styleId="TDC1">
    <w:name w:val="toc 1"/>
    <w:basedOn w:val="Normal"/>
    <w:next w:val="Normal"/>
    <w:autoRedefine/>
    <w:uiPriority w:val="39"/>
    <w:unhideWhenUsed/>
    <w:rsid w:val="00CB4D7A"/>
    <w:pPr>
      <w:tabs>
        <w:tab w:val="left" w:pos="1985"/>
        <w:tab w:val="right" w:leader="dot" w:pos="8828"/>
      </w:tabs>
      <w:spacing w:line="360" w:lineRule="auto"/>
      <w:jc w:val="both"/>
    </w:pPr>
  </w:style>
  <w:style w:type="paragraph" w:styleId="TDC2">
    <w:name w:val="toc 2"/>
    <w:basedOn w:val="Normal"/>
    <w:next w:val="Normal"/>
    <w:autoRedefine/>
    <w:uiPriority w:val="39"/>
    <w:unhideWhenUsed/>
    <w:rsid w:val="00913C12"/>
    <w:pPr>
      <w:tabs>
        <w:tab w:val="left" w:pos="1200"/>
        <w:tab w:val="right" w:leader="dot" w:pos="8828"/>
      </w:tabs>
      <w:spacing w:after="100" w:line="360" w:lineRule="auto"/>
      <w:ind w:left="240"/>
    </w:pPr>
  </w:style>
  <w:style w:type="table" w:styleId="Tablanormal1">
    <w:name w:val="Plain Table 1"/>
    <w:basedOn w:val="Tablanormal"/>
    <w:uiPriority w:val="41"/>
    <w:rsid w:val="00C30FD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suntodelcomentario">
    <w:name w:val="annotation subject"/>
    <w:basedOn w:val="Textocomentario"/>
    <w:next w:val="Textocomentario"/>
    <w:link w:val="AsuntodelcomentarioCar"/>
    <w:uiPriority w:val="99"/>
    <w:semiHidden/>
    <w:unhideWhenUsed/>
    <w:rsid w:val="00790250"/>
    <w:pPr>
      <w:spacing w:after="0"/>
    </w:pPr>
    <w:rPr>
      <w:b/>
      <w:bCs/>
      <w:lang w:val="es-ES_tradnl"/>
    </w:rPr>
  </w:style>
  <w:style w:type="character" w:customStyle="1" w:styleId="AsuntodelcomentarioCar">
    <w:name w:val="Asunto del comentario Car"/>
    <w:basedOn w:val="TextocomentarioCar"/>
    <w:link w:val="Asuntodelcomentario"/>
    <w:uiPriority w:val="99"/>
    <w:semiHidden/>
    <w:rsid w:val="00790250"/>
    <w:rPr>
      <w:b/>
      <w:bCs/>
      <w:kern w:val="2"/>
      <w:sz w:val="20"/>
      <w:szCs w:val="20"/>
      <w:lang w:val="es-ES_tradnl"/>
      <w14:ligatures w14:val="standardContextual"/>
    </w:rPr>
  </w:style>
  <w:style w:type="paragraph" w:styleId="Textonotaalfinal">
    <w:name w:val="endnote text"/>
    <w:basedOn w:val="Normal"/>
    <w:uiPriority w:val="99"/>
    <w:semiHidden/>
    <w:unhideWhenUsed/>
    <w:rsid w:val="0363BEB3"/>
    <w:rPr>
      <w:sz w:val="20"/>
      <w:szCs w:val="20"/>
    </w:rPr>
  </w:style>
  <w:style w:type="character" w:styleId="Refdenotaalfinal">
    <w:name w:val="endnote reference"/>
    <w:uiPriority w:val="99"/>
    <w:semiHidden/>
    <w:unhideWhenUsed/>
    <w:rsid w:val="0363BEB3"/>
    <w:rPr>
      <w:vertAlign w:val="superscript"/>
    </w:rPr>
  </w:style>
  <w:style w:type="paragraph" w:styleId="Textonotapie">
    <w:name w:val="footnote text"/>
    <w:basedOn w:val="Normal"/>
    <w:link w:val="TextonotapieCar"/>
    <w:uiPriority w:val="99"/>
    <w:unhideWhenUsed/>
    <w:rsid w:val="0363BEB3"/>
    <w:rPr>
      <w:sz w:val="20"/>
      <w:szCs w:val="20"/>
    </w:rPr>
  </w:style>
  <w:style w:type="character" w:styleId="Refdenotaalpie">
    <w:name w:val="footnote reference"/>
    <w:uiPriority w:val="99"/>
    <w:semiHidden/>
    <w:unhideWhenUsed/>
    <w:rsid w:val="0363BEB3"/>
    <w:rPr>
      <w:vertAlign w:val="superscript"/>
    </w:rPr>
  </w:style>
  <w:style w:type="character" w:styleId="Hipervnculovisitado">
    <w:name w:val="FollowedHyperlink"/>
    <w:basedOn w:val="Fuentedeprrafopredeter"/>
    <w:uiPriority w:val="99"/>
    <w:semiHidden/>
    <w:unhideWhenUsed/>
    <w:rsid w:val="00693CFD"/>
    <w:rPr>
      <w:color w:val="954F72" w:themeColor="followedHyperlink"/>
      <w:u w:val="single"/>
    </w:rPr>
  </w:style>
  <w:style w:type="paragraph" w:styleId="Encabezado">
    <w:name w:val="header"/>
    <w:basedOn w:val="Normal"/>
    <w:link w:val="EncabezadoCar"/>
    <w:uiPriority w:val="99"/>
    <w:unhideWhenUsed/>
    <w:rsid w:val="00C07EF1"/>
    <w:pPr>
      <w:tabs>
        <w:tab w:val="center" w:pos="4419"/>
        <w:tab w:val="right" w:pos="8838"/>
      </w:tabs>
    </w:pPr>
  </w:style>
  <w:style w:type="character" w:customStyle="1" w:styleId="EncabezadoCar">
    <w:name w:val="Encabezado Car"/>
    <w:basedOn w:val="Fuentedeprrafopredeter"/>
    <w:link w:val="Encabezado"/>
    <w:uiPriority w:val="99"/>
    <w:rsid w:val="00C07EF1"/>
    <w:rPr>
      <w:kern w:val="2"/>
      <w:sz w:val="24"/>
      <w:szCs w:val="24"/>
      <w:lang w:val="es-ES_tradnl"/>
      <w14:ligatures w14:val="standardContextual"/>
    </w:rPr>
  </w:style>
  <w:style w:type="paragraph" w:styleId="Piedepgina">
    <w:name w:val="footer"/>
    <w:basedOn w:val="Normal"/>
    <w:link w:val="PiedepginaCar"/>
    <w:uiPriority w:val="99"/>
    <w:unhideWhenUsed/>
    <w:rsid w:val="00C07EF1"/>
    <w:pPr>
      <w:tabs>
        <w:tab w:val="center" w:pos="4419"/>
        <w:tab w:val="right" w:pos="8838"/>
      </w:tabs>
    </w:pPr>
  </w:style>
  <w:style w:type="character" w:customStyle="1" w:styleId="PiedepginaCar">
    <w:name w:val="Pie de página Car"/>
    <w:basedOn w:val="Fuentedeprrafopredeter"/>
    <w:link w:val="Piedepgina"/>
    <w:uiPriority w:val="99"/>
    <w:rsid w:val="00C07EF1"/>
    <w:rPr>
      <w:kern w:val="2"/>
      <w:sz w:val="24"/>
      <w:szCs w:val="24"/>
      <w:lang w:val="es-ES_tradnl"/>
      <w14:ligatures w14:val="standardContextual"/>
    </w:rPr>
  </w:style>
  <w:style w:type="paragraph" w:styleId="Subttulo">
    <w:name w:val="Subtitle"/>
    <w:basedOn w:val="Normal"/>
    <w:next w:val="Normal"/>
    <w:link w:val="SubttuloCar"/>
    <w:uiPriority w:val="11"/>
    <w:qFormat/>
    <w:rsid w:val="00104193"/>
    <w:pPr>
      <w:numPr>
        <w:ilvl w:val="1"/>
      </w:numPr>
      <w:spacing w:after="160"/>
    </w:pPr>
    <w:rPr>
      <w:rFonts w:eastAsiaTheme="minorEastAsia"/>
      <w:color w:val="5A5A5A" w:themeColor="text1" w:themeTint="A5"/>
      <w:spacing w:val="15"/>
      <w:sz w:val="22"/>
      <w:szCs w:val="22"/>
    </w:rPr>
  </w:style>
  <w:style w:type="character" w:customStyle="1" w:styleId="SubttuloCar">
    <w:name w:val="Subtítulo Car"/>
    <w:basedOn w:val="Fuentedeprrafopredeter"/>
    <w:link w:val="Subttulo"/>
    <w:uiPriority w:val="11"/>
    <w:rsid w:val="00104193"/>
    <w:rPr>
      <w:rFonts w:eastAsiaTheme="minorEastAsia"/>
      <w:color w:val="5A5A5A" w:themeColor="text1" w:themeTint="A5"/>
      <w:spacing w:val="15"/>
      <w:kern w:val="2"/>
      <w:lang w:val="es-ES_tradnl"/>
      <w14:ligatures w14:val="standardContextual"/>
    </w:rPr>
  </w:style>
  <w:style w:type="character" w:customStyle="1" w:styleId="normaltextrun">
    <w:name w:val="normaltextrun"/>
    <w:basedOn w:val="Fuentedeprrafopredeter"/>
    <w:rsid w:val="00872658"/>
  </w:style>
  <w:style w:type="character" w:customStyle="1" w:styleId="eop">
    <w:name w:val="eop"/>
    <w:basedOn w:val="Fuentedeprrafopredeter"/>
    <w:rsid w:val="00872658"/>
  </w:style>
  <w:style w:type="paragraph" w:styleId="Revisin">
    <w:name w:val="Revision"/>
    <w:hidden/>
    <w:uiPriority w:val="99"/>
    <w:semiHidden/>
    <w:rsid w:val="00CD3FAA"/>
    <w:pPr>
      <w:spacing w:after="0" w:line="240" w:lineRule="auto"/>
    </w:pPr>
    <w:rPr>
      <w:kern w:val="2"/>
      <w:sz w:val="24"/>
      <w:szCs w:val="24"/>
      <w:lang w:val="es-ES_tradnl"/>
      <w14:ligatures w14:val="standardContextual"/>
    </w:rPr>
  </w:style>
  <w:style w:type="paragraph" w:styleId="Descripcin">
    <w:name w:val="caption"/>
    <w:basedOn w:val="Normal"/>
    <w:next w:val="Normal"/>
    <w:uiPriority w:val="35"/>
    <w:unhideWhenUsed/>
    <w:qFormat/>
    <w:rsid w:val="000F6EB0"/>
    <w:pPr>
      <w:spacing w:after="200"/>
    </w:pPr>
    <w:rPr>
      <w:i/>
      <w:iCs/>
      <w:color w:val="44546A" w:themeColor="text2"/>
      <w:sz w:val="18"/>
      <w:szCs w:val="18"/>
    </w:rPr>
  </w:style>
  <w:style w:type="character" w:customStyle="1" w:styleId="Mencinsinresolver1">
    <w:name w:val="Mención sin resolver1"/>
    <w:basedOn w:val="Fuentedeprrafopredeter"/>
    <w:uiPriority w:val="99"/>
    <w:semiHidden/>
    <w:unhideWhenUsed/>
    <w:rsid w:val="00DC2209"/>
    <w:rPr>
      <w:color w:val="605E5C"/>
      <w:shd w:val="clear" w:color="auto" w:fill="E1DFDD"/>
    </w:rPr>
  </w:style>
  <w:style w:type="paragraph" w:styleId="Tabladeilustraciones">
    <w:name w:val="table of figures"/>
    <w:basedOn w:val="Normal"/>
    <w:next w:val="Normal"/>
    <w:uiPriority w:val="99"/>
    <w:unhideWhenUsed/>
    <w:rsid w:val="008036C2"/>
  </w:style>
  <w:style w:type="character" w:customStyle="1" w:styleId="Ttulo4Car">
    <w:name w:val="Título 4 Car"/>
    <w:basedOn w:val="Fuentedeprrafopredeter"/>
    <w:link w:val="Ttulo4"/>
    <w:uiPriority w:val="9"/>
    <w:semiHidden/>
    <w:rsid w:val="00B20651"/>
    <w:rPr>
      <w:rFonts w:asciiTheme="majorHAnsi" w:eastAsiaTheme="majorEastAsia" w:hAnsiTheme="majorHAnsi" w:cstheme="majorBidi"/>
      <w:i/>
      <w:iCs/>
      <w:color w:val="2E74B5" w:themeColor="accent1" w:themeShade="BF"/>
      <w:kern w:val="2"/>
      <w:sz w:val="24"/>
      <w:szCs w:val="24"/>
      <w:lang w:val="es-ES_tradnl"/>
      <w14:ligatures w14:val="standardContextual"/>
    </w:rPr>
  </w:style>
  <w:style w:type="character" w:customStyle="1" w:styleId="Ttulo3Car">
    <w:name w:val="Título 3 Car"/>
    <w:basedOn w:val="Fuentedeprrafopredeter"/>
    <w:link w:val="Ttulo3"/>
    <w:uiPriority w:val="9"/>
    <w:rsid w:val="00B20651"/>
    <w:rPr>
      <w:rFonts w:asciiTheme="majorHAnsi" w:eastAsiaTheme="majorEastAsia" w:hAnsiTheme="majorHAnsi" w:cstheme="majorBidi"/>
      <w:color w:val="1F4D78" w:themeColor="accent1" w:themeShade="7F"/>
      <w:kern w:val="2"/>
      <w:sz w:val="24"/>
      <w:szCs w:val="24"/>
      <w:lang w:val="es-ES_tradnl"/>
      <w14:ligatures w14:val="standardContextual"/>
    </w:rPr>
  </w:style>
  <w:style w:type="character" w:customStyle="1" w:styleId="Mencinsinresolver2">
    <w:name w:val="Mención sin resolver2"/>
    <w:basedOn w:val="Fuentedeprrafopredeter"/>
    <w:uiPriority w:val="99"/>
    <w:semiHidden/>
    <w:unhideWhenUsed/>
    <w:rsid w:val="00CF2306"/>
    <w:rPr>
      <w:color w:val="605E5C"/>
      <w:shd w:val="clear" w:color="auto" w:fill="E1DFDD"/>
    </w:rPr>
  </w:style>
  <w:style w:type="character" w:customStyle="1" w:styleId="Mencinsinresolver3">
    <w:name w:val="Mención sin resolver3"/>
    <w:basedOn w:val="Fuentedeprrafopredeter"/>
    <w:uiPriority w:val="99"/>
    <w:semiHidden/>
    <w:unhideWhenUsed/>
    <w:rsid w:val="00704377"/>
    <w:rPr>
      <w:color w:val="605E5C"/>
      <w:shd w:val="clear" w:color="auto" w:fill="E1DFDD"/>
    </w:rPr>
  </w:style>
  <w:style w:type="character" w:customStyle="1" w:styleId="s3">
    <w:name w:val="s3"/>
    <w:basedOn w:val="Fuentedeprrafopredeter"/>
    <w:rsid w:val="007C65C4"/>
  </w:style>
  <w:style w:type="paragraph" w:customStyle="1" w:styleId="p2">
    <w:name w:val="p2"/>
    <w:basedOn w:val="Normal"/>
    <w:rsid w:val="007C65C4"/>
    <w:pPr>
      <w:spacing w:before="100" w:beforeAutospacing="1" w:after="100" w:afterAutospacing="1"/>
    </w:pPr>
  </w:style>
  <w:style w:type="paragraph" w:customStyle="1" w:styleId="paragraph">
    <w:name w:val="paragraph"/>
    <w:basedOn w:val="Normal"/>
    <w:rsid w:val="00913C12"/>
    <w:pPr>
      <w:spacing w:before="100" w:beforeAutospacing="1" w:after="100" w:afterAutospacing="1"/>
    </w:pPr>
  </w:style>
  <w:style w:type="character" w:customStyle="1" w:styleId="scxw66536647">
    <w:name w:val="scxw66536647"/>
    <w:basedOn w:val="Fuentedeprrafopredeter"/>
    <w:rsid w:val="00913C12"/>
  </w:style>
  <w:style w:type="table" w:styleId="Tabladelista4-nfasis1">
    <w:name w:val="List Table 4 Accent 1"/>
    <w:basedOn w:val="Tabla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DC3">
    <w:name w:val="toc 3"/>
    <w:basedOn w:val="Normal"/>
    <w:next w:val="Normal"/>
    <w:autoRedefine/>
    <w:uiPriority w:val="39"/>
    <w:unhideWhenUsed/>
    <w:rsid w:val="00EA3126"/>
    <w:pPr>
      <w:spacing w:after="100"/>
      <w:ind w:left="480"/>
    </w:pPr>
  </w:style>
  <w:style w:type="character" w:customStyle="1" w:styleId="TextonotapieCar">
    <w:name w:val="Texto nota pie Car"/>
    <w:basedOn w:val="Fuentedeprrafopredeter"/>
    <w:link w:val="Textonotapie"/>
    <w:uiPriority w:val="99"/>
    <w:rsid w:val="00F81D98"/>
    <w:rPr>
      <w:rFonts w:ascii="Times New Roman" w:eastAsia="Times New Roman" w:hAnsi="Times New Roman" w:cs="Times New Roman"/>
      <w:sz w:val="20"/>
      <w:szCs w:val="20"/>
      <w:lang w:eastAsia="es-MX"/>
    </w:rPr>
  </w:style>
  <w:style w:type="table" w:styleId="Tablaconcuadrcula4-nfasis5">
    <w:name w:val="Grid Table 4 Accent 5"/>
    <w:basedOn w:val="Tablanormal"/>
    <w:uiPriority w:val="49"/>
    <w:rsid w:val="00F81D98"/>
    <w:pPr>
      <w:spacing w:after="0" w:line="240" w:lineRule="auto"/>
    </w:pPr>
    <w:rPr>
      <w:kern w:val="2"/>
      <w:sz w:val="24"/>
      <w:szCs w:val="24"/>
      <w14:ligatures w14:val="standardContextu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cinsinresolver">
    <w:name w:val="Unresolved Mention"/>
    <w:basedOn w:val="Fuentedeprrafopredeter"/>
    <w:uiPriority w:val="99"/>
    <w:semiHidden/>
    <w:unhideWhenUsed/>
    <w:rsid w:val="00E25D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286">
      <w:bodyDiv w:val="1"/>
      <w:marLeft w:val="0"/>
      <w:marRight w:val="0"/>
      <w:marTop w:val="0"/>
      <w:marBottom w:val="0"/>
      <w:divBdr>
        <w:top w:val="none" w:sz="0" w:space="0" w:color="auto"/>
        <w:left w:val="none" w:sz="0" w:space="0" w:color="auto"/>
        <w:bottom w:val="none" w:sz="0" w:space="0" w:color="auto"/>
        <w:right w:val="none" w:sz="0" w:space="0" w:color="auto"/>
      </w:divBdr>
    </w:div>
    <w:div w:id="5989211">
      <w:bodyDiv w:val="1"/>
      <w:marLeft w:val="0"/>
      <w:marRight w:val="0"/>
      <w:marTop w:val="0"/>
      <w:marBottom w:val="0"/>
      <w:divBdr>
        <w:top w:val="none" w:sz="0" w:space="0" w:color="auto"/>
        <w:left w:val="none" w:sz="0" w:space="0" w:color="auto"/>
        <w:bottom w:val="none" w:sz="0" w:space="0" w:color="auto"/>
        <w:right w:val="none" w:sz="0" w:space="0" w:color="auto"/>
      </w:divBdr>
    </w:div>
    <w:div w:id="28184180">
      <w:bodyDiv w:val="1"/>
      <w:marLeft w:val="0"/>
      <w:marRight w:val="0"/>
      <w:marTop w:val="0"/>
      <w:marBottom w:val="0"/>
      <w:divBdr>
        <w:top w:val="none" w:sz="0" w:space="0" w:color="auto"/>
        <w:left w:val="none" w:sz="0" w:space="0" w:color="auto"/>
        <w:bottom w:val="none" w:sz="0" w:space="0" w:color="auto"/>
        <w:right w:val="none" w:sz="0" w:space="0" w:color="auto"/>
      </w:divBdr>
    </w:div>
    <w:div w:id="38021082">
      <w:bodyDiv w:val="1"/>
      <w:marLeft w:val="0"/>
      <w:marRight w:val="0"/>
      <w:marTop w:val="0"/>
      <w:marBottom w:val="0"/>
      <w:divBdr>
        <w:top w:val="none" w:sz="0" w:space="0" w:color="auto"/>
        <w:left w:val="none" w:sz="0" w:space="0" w:color="auto"/>
        <w:bottom w:val="none" w:sz="0" w:space="0" w:color="auto"/>
        <w:right w:val="none" w:sz="0" w:space="0" w:color="auto"/>
      </w:divBdr>
    </w:div>
    <w:div w:id="91706775">
      <w:bodyDiv w:val="1"/>
      <w:marLeft w:val="0"/>
      <w:marRight w:val="0"/>
      <w:marTop w:val="0"/>
      <w:marBottom w:val="0"/>
      <w:divBdr>
        <w:top w:val="none" w:sz="0" w:space="0" w:color="auto"/>
        <w:left w:val="none" w:sz="0" w:space="0" w:color="auto"/>
        <w:bottom w:val="none" w:sz="0" w:space="0" w:color="auto"/>
        <w:right w:val="none" w:sz="0" w:space="0" w:color="auto"/>
      </w:divBdr>
    </w:div>
    <w:div w:id="125780074">
      <w:bodyDiv w:val="1"/>
      <w:marLeft w:val="0"/>
      <w:marRight w:val="0"/>
      <w:marTop w:val="0"/>
      <w:marBottom w:val="0"/>
      <w:divBdr>
        <w:top w:val="none" w:sz="0" w:space="0" w:color="auto"/>
        <w:left w:val="none" w:sz="0" w:space="0" w:color="auto"/>
        <w:bottom w:val="none" w:sz="0" w:space="0" w:color="auto"/>
        <w:right w:val="none" w:sz="0" w:space="0" w:color="auto"/>
      </w:divBdr>
    </w:div>
    <w:div w:id="157501660">
      <w:bodyDiv w:val="1"/>
      <w:marLeft w:val="0"/>
      <w:marRight w:val="0"/>
      <w:marTop w:val="0"/>
      <w:marBottom w:val="0"/>
      <w:divBdr>
        <w:top w:val="none" w:sz="0" w:space="0" w:color="auto"/>
        <w:left w:val="none" w:sz="0" w:space="0" w:color="auto"/>
        <w:bottom w:val="none" w:sz="0" w:space="0" w:color="auto"/>
        <w:right w:val="none" w:sz="0" w:space="0" w:color="auto"/>
      </w:divBdr>
    </w:div>
    <w:div w:id="172959380">
      <w:bodyDiv w:val="1"/>
      <w:marLeft w:val="0"/>
      <w:marRight w:val="0"/>
      <w:marTop w:val="0"/>
      <w:marBottom w:val="0"/>
      <w:divBdr>
        <w:top w:val="none" w:sz="0" w:space="0" w:color="auto"/>
        <w:left w:val="none" w:sz="0" w:space="0" w:color="auto"/>
        <w:bottom w:val="none" w:sz="0" w:space="0" w:color="auto"/>
        <w:right w:val="none" w:sz="0" w:space="0" w:color="auto"/>
      </w:divBdr>
    </w:div>
    <w:div w:id="173812524">
      <w:bodyDiv w:val="1"/>
      <w:marLeft w:val="0"/>
      <w:marRight w:val="0"/>
      <w:marTop w:val="0"/>
      <w:marBottom w:val="0"/>
      <w:divBdr>
        <w:top w:val="none" w:sz="0" w:space="0" w:color="auto"/>
        <w:left w:val="none" w:sz="0" w:space="0" w:color="auto"/>
        <w:bottom w:val="none" w:sz="0" w:space="0" w:color="auto"/>
        <w:right w:val="none" w:sz="0" w:space="0" w:color="auto"/>
      </w:divBdr>
    </w:div>
    <w:div w:id="174464542">
      <w:bodyDiv w:val="1"/>
      <w:marLeft w:val="0"/>
      <w:marRight w:val="0"/>
      <w:marTop w:val="0"/>
      <w:marBottom w:val="0"/>
      <w:divBdr>
        <w:top w:val="none" w:sz="0" w:space="0" w:color="auto"/>
        <w:left w:val="none" w:sz="0" w:space="0" w:color="auto"/>
        <w:bottom w:val="none" w:sz="0" w:space="0" w:color="auto"/>
        <w:right w:val="none" w:sz="0" w:space="0" w:color="auto"/>
      </w:divBdr>
    </w:div>
    <w:div w:id="176503660">
      <w:bodyDiv w:val="1"/>
      <w:marLeft w:val="0"/>
      <w:marRight w:val="0"/>
      <w:marTop w:val="0"/>
      <w:marBottom w:val="0"/>
      <w:divBdr>
        <w:top w:val="none" w:sz="0" w:space="0" w:color="auto"/>
        <w:left w:val="none" w:sz="0" w:space="0" w:color="auto"/>
        <w:bottom w:val="none" w:sz="0" w:space="0" w:color="auto"/>
        <w:right w:val="none" w:sz="0" w:space="0" w:color="auto"/>
      </w:divBdr>
    </w:div>
    <w:div w:id="177738272">
      <w:bodyDiv w:val="1"/>
      <w:marLeft w:val="0"/>
      <w:marRight w:val="0"/>
      <w:marTop w:val="0"/>
      <w:marBottom w:val="0"/>
      <w:divBdr>
        <w:top w:val="none" w:sz="0" w:space="0" w:color="auto"/>
        <w:left w:val="none" w:sz="0" w:space="0" w:color="auto"/>
        <w:bottom w:val="none" w:sz="0" w:space="0" w:color="auto"/>
        <w:right w:val="none" w:sz="0" w:space="0" w:color="auto"/>
      </w:divBdr>
    </w:div>
    <w:div w:id="178203404">
      <w:bodyDiv w:val="1"/>
      <w:marLeft w:val="0"/>
      <w:marRight w:val="0"/>
      <w:marTop w:val="0"/>
      <w:marBottom w:val="0"/>
      <w:divBdr>
        <w:top w:val="none" w:sz="0" w:space="0" w:color="auto"/>
        <w:left w:val="none" w:sz="0" w:space="0" w:color="auto"/>
        <w:bottom w:val="none" w:sz="0" w:space="0" w:color="auto"/>
        <w:right w:val="none" w:sz="0" w:space="0" w:color="auto"/>
      </w:divBdr>
    </w:div>
    <w:div w:id="214200642">
      <w:bodyDiv w:val="1"/>
      <w:marLeft w:val="0"/>
      <w:marRight w:val="0"/>
      <w:marTop w:val="0"/>
      <w:marBottom w:val="0"/>
      <w:divBdr>
        <w:top w:val="none" w:sz="0" w:space="0" w:color="auto"/>
        <w:left w:val="none" w:sz="0" w:space="0" w:color="auto"/>
        <w:bottom w:val="none" w:sz="0" w:space="0" w:color="auto"/>
        <w:right w:val="none" w:sz="0" w:space="0" w:color="auto"/>
      </w:divBdr>
    </w:div>
    <w:div w:id="216750212">
      <w:bodyDiv w:val="1"/>
      <w:marLeft w:val="0"/>
      <w:marRight w:val="0"/>
      <w:marTop w:val="0"/>
      <w:marBottom w:val="0"/>
      <w:divBdr>
        <w:top w:val="none" w:sz="0" w:space="0" w:color="auto"/>
        <w:left w:val="none" w:sz="0" w:space="0" w:color="auto"/>
        <w:bottom w:val="none" w:sz="0" w:space="0" w:color="auto"/>
        <w:right w:val="none" w:sz="0" w:space="0" w:color="auto"/>
      </w:divBdr>
    </w:div>
    <w:div w:id="241138865">
      <w:bodyDiv w:val="1"/>
      <w:marLeft w:val="0"/>
      <w:marRight w:val="0"/>
      <w:marTop w:val="0"/>
      <w:marBottom w:val="0"/>
      <w:divBdr>
        <w:top w:val="none" w:sz="0" w:space="0" w:color="auto"/>
        <w:left w:val="none" w:sz="0" w:space="0" w:color="auto"/>
        <w:bottom w:val="none" w:sz="0" w:space="0" w:color="auto"/>
        <w:right w:val="none" w:sz="0" w:space="0" w:color="auto"/>
      </w:divBdr>
    </w:div>
    <w:div w:id="325473264">
      <w:bodyDiv w:val="1"/>
      <w:marLeft w:val="0"/>
      <w:marRight w:val="0"/>
      <w:marTop w:val="0"/>
      <w:marBottom w:val="0"/>
      <w:divBdr>
        <w:top w:val="none" w:sz="0" w:space="0" w:color="auto"/>
        <w:left w:val="none" w:sz="0" w:space="0" w:color="auto"/>
        <w:bottom w:val="none" w:sz="0" w:space="0" w:color="auto"/>
        <w:right w:val="none" w:sz="0" w:space="0" w:color="auto"/>
      </w:divBdr>
    </w:div>
    <w:div w:id="336732715">
      <w:bodyDiv w:val="1"/>
      <w:marLeft w:val="0"/>
      <w:marRight w:val="0"/>
      <w:marTop w:val="0"/>
      <w:marBottom w:val="0"/>
      <w:divBdr>
        <w:top w:val="none" w:sz="0" w:space="0" w:color="auto"/>
        <w:left w:val="none" w:sz="0" w:space="0" w:color="auto"/>
        <w:bottom w:val="none" w:sz="0" w:space="0" w:color="auto"/>
        <w:right w:val="none" w:sz="0" w:space="0" w:color="auto"/>
      </w:divBdr>
    </w:div>
    <w:div w:id="399210655">
      <w:bodyDiv w:val="1"/>
      <w:marLeft w:val="0"/>
      <w:marRight w:val="0"/>
      <w:marTop w:val="0"/>
      <w:marBottom w:val="0"/>
      <w:divBdr>
        <w:top w:val="none" w:sz="0" w:space="0" w:color="auto"/>
        <w:left w:val="none" w:sz="0" w:space="0" w:color="auto"/>
        <w:bottom w:val="none" w:sz="0" w:space="0" w:color="auto"/>
        <w:right w:val="none" w:sz="0" w:space="0" w:color="auto"/>
      </w:divBdr>
    </w:div>
    <w:div w:id="440876297">
      <w:bodyDiv w:val="1"/>
      <w:marLeft w:val="0"/>
      <w:marRight w:val="0"/>
      <w:marTop w:val="0"/>
      <w:marBottom w:val="0"/>
      <w:divBdr>
        <w:top w:val="none" w:sz="0" w:space="0" w:color="auto"/>
        <w:left w:val="none" w:sz="0" w:space="0" w:color="auto"/>
        <w:bottom w:val="none" w:sz="0" w:space="0" w:color="auto"/>
        <w:right w:val="none" w:sz="0" w:space="0" w:color="auto"/>
      </w:divBdr>
    </w:div>
    <w:div w:id="473565700">
      <w:bodyDiv w:val="1"/>
      <w:marLeft w:val="0"/>
      <w:marRight w:val="0"/>
      <w:marTop w:val="0"/>
      <w:marBottom w:val="0"/>
      <w:divBdr>
        <w:top w:val="none" w:sz="0" w:space="0" w:color="auto"/>
        <w:left w:val="none" w:sz="0" w:space="0" w:color="auto"/>
        <w:bottom w:val="none" w:sz="0" w:space="0" w:color="auto"/>
        <w:right w:val="none" w:sz="0" w:space="0" w:color="auto"/>
      </w:divBdr>
    </w:div>
    <w:div w:id="477891131">
      <w:bodyDiv w:val="1"/>
      <w:marLeft w:val="0"/>
      <w:marRight w:val="0"/>
      <w:marTop w:val="0"/>
      <w:marBottom w:val="0"/>
      <w:divBdr>
        <w:top w:val="none" w:sz="0" w:space="0" w:color="auto"/>
        <w:left w:val="none" w:sz="0" w:space="0" w:color="auto"/>
        <w:bottom w:val="none" w:sz="0" w:space="0" w:color="auto"/>
        <w:right w:val="none" w:sz="0" w:space="0" w:color="auto"/>
      </w:divBdr>
      <w:divsChild>
        <w:div w:id="1757969344">
          <w:marLeft w:val="0"/>
          <w:marRight w:val="0"/>
          <w:marTop w:val="0"/>
          <w:marBottom w:val="0"/>
          <w:divBdr>
            <w:top w:val="none" w:sz="0" w:space="0" w:color="auto"/>
            <w:left w:val="none" w:sz="0" w:space="0" w:color="auto"/>
            <w:bottom w:val="none" w:sz="0" w:space="0" w:color="auto"/>
            <w:right w:val="none" w:sz="0" w:space="0" w:color="auto"/>
          </w:divBdr>
        </w:div>
      </w:divsChild>
    </w:div>
    <w:div w:id="544295717">
      <w:bodyDiv w:val="1"/>
      <w:marLeft w:val="0"/>
      <w:marRight w:val="0"/>
      <w:marTop w:val="0"/>
      <w:marBottom w:val="0"/>
      <w:divBdr>
        <w:top w:val="none" w:sz="0" w:space="0" w:color="auto"/>
        <w:left w:val="none" w:sz="0" w:space="0" w:color="auto"/>
        <w:bottom w:val="none" w:sz="0" w:space="0" w:color="auto"/>
        <w:right w:val="none" w:sz="0" w:space="0" w:color="auto"/>
      </w:divBdr>
    </w:div>
    <w:div w:id="552888764">
      <w:bodyDiv w:val="1"/>
      <w:marLeft w:val="0"/>
      <w:marRight w:val="0"/>
      <w:marTop w:val="0"/>
      <w:marBottom w:val="0"/>
      <w:divBdr>
        <w:top w:val="none" w:sz="0" w:space="0" w:color="auto"/>
        <w:left w:val="none" w:sz="0" w:space="0" w:color="auto"/>
        <w:bottom w:val="none" w:sz="0" w:space="0" w:color="auto"/>
        <w:right w:val="none" w:sz="0" w:space="0" w:color="auto"/>
      </w:divBdr>
    </w:div>
    <w:div w:id="568348949">
      <w:bodyDiv w:val="1"/>
      <w:marLeft w:val="0"/>
      <w:marRight w:val="0"/>
      <w:marTop w:val="0"/>
      <w:marBottom w:val="0"/>
      <w:divBdr>
        <w:top w:val="none" w:sz="0" w:space="0" w:color="auto"/>
        <w:left w:val="none" w:sz="0" w:space="0" w:color="auto"/>
        <w:bottom w:val="none" w:sz="0" w:space="0" w:color="auto"/>
        <w:right w:val="none" w:sz="0" w:space="0" w:color="auto"/>
      </w:divBdr>
    </w:div>
    <w:div w:id="574778811">
      <w:bodyDiv w:val="1"/>
      <w:marLeft w:val="0"/>
      <w:marRight w:val="0"/>
      <w:marTop w:val="0"/>
      <w:marBottom w:val="0"/>
      <w:divBdr>
        <w:top w:val="none" w:sz="0" w:space="0" w:color="auto"/>
        <w:left w:val="none" w:sz="0" w:space="0" w:color="auto"/>
        <w:bottom w:val="none" w:sz="0" w:space="0" w:color="auto"/>
        <w:right w:val="none" w:sz="0" w:space="0" w:color="auto"/>
      </w:divBdr>
    </w:div>
    <w:div w:id="593906018">
      <w:bodyDiv w:val="1"/>
      <w:marLeft w:val="0"/>
      <w:marRight w:val="0"/>
      <w:marTop w:val="0"/>
      <w:marBottom w:val="0"/>
      <w:divBdr>
        <w:top w:val="none" w:sz="0" w:space="0" w:color="auto"/>
        <w:left w:val="none" w:sz="0" w:space="0" w:color="auto"/>
        <w:bottom w:val="none" w:sz="0" w:space="0" w:color="auto"/>
        <w:right w:val="none" w:sz="0" w:space="0" w:color="auto"/>
      </w:divBdr>
    </w:div>
    <w:div w:id="618948937">
      <w:bodyDiv w:val="1"/>
      <w:marLeft w:val="0"/>
      <w:marRight w:val="0"/>
      <w:marTop w:val="0"/>
      <w:marBottom w:val="0"/>
      <w:divBdr>
        <w:top w:val="none" w:sz="0" w:space="0" w:color="auto"/>
        <w:left w:val="none" w:sz="0" w:space="0" w:color="auto"/>
        <w:bottom w:val="none" w:sz="0" w:space="0" w:color="auto"/>
        <w:right w:val="none" w:sz="0" w:space="0" w:color="auto"/>
      </w:divBdr>
    </w:div>
    <w:div w:id="621692853">
      <w:bodyDiv w:val="1"/>
      <w:marLeft w:val="0"/>
      <w:marRight w:val="0"/>
      <w:marTop w:val="0"/>
      <w:marBottom w:val="0"/>
      <w:divBdr>
        <w:top w:val="none" w:sz="0" w:space="0" w:color="auto"/>
        <w:left w:val="none" w:sz="0" w:space="0" w:color="auto"/>
        <w:bottom w:val="none" w:sz="0" w:space="0" w:color="auto"/>
        <w:right w:val="none" w:sz="0" w:space="0" w:color="auto"/>
      </w:divBdr>
    </w:div>
    <w:div w:id="626424749">
      <w:bodyDiv w:val="1"/>
      <w:marLeft w:val="0"/>
      <w:marRight w:val="0"/>
      <w:marTop w:val="0"/>
      <w:marBottom w:val="0"/>
      <w:divBdr>
        <w:top w:val="none" w:sz="0" w:space="0" w:color="auto"/>
        <w:left w:val="none" w:sz="0" w:space="0" w:color="auto"/>
        <w:bottom w:val="none" w:sz="0" w:space="0" w:color="auto"/>
        <w:right w:val="none" w:sz="0" w:space="0" w:color="auto"/>
      </w:divBdr>
    </w:div>
    <w:div w:id="635600200">
      <w:bodyDiv w:val="1"/>
      <w:marLeft w:val="0"/>
      <w:marRight w:val="0"/>
      <w:marTop w:val="0"/>
      <w:marBottom w:val="0"/>
      <w:divBdr>
        <w:top w:val="none" w:sz="0" w:space="0" w:color="auto"/>
        <w:left w:val="none" w:sz="0" w:space="0" w:color="auto"/>
        <w:bottom w:val="none" w:sz="0" w:space="0" w:color="auto"/>
        <w:right w:val="none" w:sz="0" w:space="0" w:color="auto"/>
      </w:divBdr>
    </w:div>
    <w:div w:id="656349463">
      <w:bodyDiv w:val="1"/>
      <w:marLeft w:val="0"/>
      <w:marRight w:val="0"/>
      <w:marTop w:val="0"/>
      <w:marBottom w:val="0"/>
      <w:divBdr>
        <w:top w:val="none" w:sz="0" w:space="0" w:color="auto"/>
        <w:left w:val="none" w:sz="0" w:space="0" w:color="auto"/>
        <w:bottom w:val="none" w:sz="0" w:space="0" w:color="auto"/>
        <w:right w:val="none" w:sz="0" w:space="0" w:color="auto"/>
      </w:divBdr>
    </w:div>
    <w:div w:id="687292458">
      <w:bodyDiv w:val="1"/>
      <w:marLeft w:val="0"/>
      <w:marRight w:val="0"/>
      <w:marTop w:val="0"/>
      <w:marBottom w:val="0"/>
      <w:divBdr>
        <w:top w:val="none" w:sz="0" w:space="0" w:color="auto"/>
        <w:left w:val="none" w:sz="0" w:space="0" w:color="auto"/>
        <w:bottom w:val="none" w:sz="0" w:space="0" w:color="auto"/>
        <w:right w:val="none" w:sz="0" w:space="0" w:color="auto"/>
      </w:divBdr>
    </w:div>
    <w:div w:id="714739374">
      <w:bodyDiv w:val="1"/>
      <w:marLeft w:val="0"/>
      <w:marRight w:val="0"/>
      <w:marTop w:val="0"/>
      <w:marBottom w:val="0"/>
      <w:divBdr>
        <w:top w:val="none" w:sz="0" w:space="0" w:color="auto"/>
        <w:left w:val="none" w:sz="0" w:space="0" w:color="auto"/>
        <w:bottom w:val="none" w:sz="0" w:space="0" w:color="auto"/>
        <w:right w:val="none" w:sz="0" w:space="0" w:color="auto"/>
      </w:divBdr>
    </w:div>
    <w:div w:id="746001135">
      <w:bodyDiv w:val="1"/>
      <w:marLeft w:val="0"/>
      <w:marRight w:val="0"/>
      <w:marTop w:val="0"/>
      <w:marBottom w:val="0"/>
      <w:divBdr>
        <w:top w:val="none" w:sz="0" w:space="0" w:color="auto"/>
        <w:left w:val="none" w:sz="0" w:space="0" w:color="auto"/>
        <w:bottom w:val="none" w:sz="0" w:space="0" w:color="auto"/>
        <w:right w:val="none" w:sz="0" w:space="0" w:color="auto"/>
      </w:divBdr>
    </w:div>
    <w:div w:id="766771323">
      <w:bodyDiv w:val="1"/>
      <w:marLeft w:val="0"/>
      <w:marRight w:val="0"/>
      <w:marTop w:val="0"/>
      <w:marBottom w:val="0"/>
      <w:divBdr>
        <w:top w:val="none" w:sz="0" w:space="0" w:color="auto"/>
        <w:left w:val="none" w:sz="0" w:space="0" w:color="auto"/>
        <w:bottom w:val="none" w:sz="0" w:space="0" w:color="auto"/>
        <w:right w:val="none" w:sz="0" w:space="0" w:color="auto"/>
      </w:divBdr>
    </w:div>
    <w:div w:id="777986973">
      <w:bodyDiv w:val="1"/>
      <w:marLeft w:val="0"/>
      <w:marRight w:val="0"/>
      <w:marTop w:val="0"/>
      <w:marBottom w:val="0"/>
      <w:divBdr>
        <w:top w:val="none" w:sz="0" w:space="0" w:color="auto"/>
        <w:left w:val="none" w:sz="0" w:space="0" w:color="auto"/>
        <w:bottom w:val="none" w:sz="0" w:space="0" w:color="auto"/>
        <w:right w:val="none" w:sz="0" w:space="0" w:color="auto"/>
      </w:divBdr>
    </w:div>
    <w:div w:id="870728522">
      <w:bodyDiv w:val="1"/>
      <w:marLeft w:val="0"/>
      <w:marRight w:val="0"/>
      <w:marTop w:val="0"/>
      <w:marBottom w:val="0"/>
      <w:divBdr>
        <w:top w:val="none" w:sz="0" w:space="0" w:color="auto"/>
        <w:left w:val="none" w:sz="0" w:space="0" w:color="auto"/>
        <w:bottom w:val="none" w:sz="0" w:space="0" w:color="auto"/>
        <w:right w:val="none" w:sz="0" w:space="0" w:color="auto"/>
      </w:divBdr>
    </w:div>
    <w:div w:id="890656879">
      <w:bodyDiv w:val="1"/>
      <w:marLeft w:val="0"/>
      <w:marRight w:val="0"/>
      <w:marTop w:val="0"/>
      <w:marBottom w:val="0"/>
      <w:divBdr>
        <w:top w:val="none" w:sz="0" w:space="0" w:color="auto"/>
        <w:left w:val="none" w:sz="0" w:space="0" w:color="auto"/>
        <w:bottom w:val="none" w:sz="0" w:space="0" w:color="auto"/>
        <w:right w:val="none" w:sz="0" w:space="0" w:color="auto"/>
      </w:divBdr>
      <w:divsChild>
        <w:div w:id="272178843">
          <w:marLeft w:val="0"/>
          <w:marRight w:val="0"/>
          <w:marTop w:val="0"/>
          <w:marBottom w:val="0"/>
          <w:divBdr>
            <w:top w:val="none" w:sz="0" w:space="0" w:color="auto"/>
            <w:left w:val="none" w:sz="0" w:space="0" w:color="auto"/>
            <w:bottom w:val="none" w:sz="0" w:space="0" w:color="auto"/>
            <w:right w:val="none" w:sz="0" w:space="0" w:color="auto"/>
          </w:divBdr>
        </w:div>
        <w:div w:id="578028244">
          <w:marLeft w:val="0"/>
          <w:marRight w:val="0"/>
          <w:marTop w:val="0"/>
          <w:marBottom w:val="0"/>
          <w:divBdr>
            <w:top w:val="none" w:sz="0" w:space="0" w:color="auto"/>
            <w:left w:val="none" w:sz="0" w:space="0" w:color="auto"/>
            <w:bottom w:val="none" w:sz="0" w:space="0" w:color="auto"/>
            <w:right w:val="none" w:sz="0" w:space="0" w:color="auto"/>
          </w:divBdr>
        </w:div>
        <w:div w:id="590941029">
          <w:marLeft w:val="0"/>
          <w:marRight w:val="0"/>
          <w:marTop w:val="0"/>
          <w:marBottom w:val="0"/>
          <w:divBdr>
            <w:top w:val="none" w:sz="0" w:space="0" w:color="auto"/>
            <w:left w:val="none" w:sz="0" w:space="0" w:color="auto"/>
            <w:bottom w:val="none" w:sz="0" w:space="0" w:color="auto"/>
            <w:right w:val="none" w:sz="0" w:space="0" w:color="auto"/>
          </w:divBdr>
        </w:div>
        <w:div w:id="650866221">
          <w:marLeft w:val="0"/>
          <w:marRight w:val="0"/>
          <w:marTop w:val="0"/>
          <w:marBottom w:val="0"/>
          <w:divBdr>
            <w:top w:val="none" w:sz="0" w:space="0" w:color="auto"/>
            <w:left w:val="none" w:sz="0" w:space="0" w:color="auto"/>
            <w:bottom w:val="none" w:sz="0" w:space="0" w:color="auto"/>
            <w:right w:val="none" w:sz="0" w:space="0" w:color="auto"/>
          </w:divBdr>
        </w:div>
        <w:div w:id="944077415">
          <w:marLeft w:val="0"/>
          <w:marRight w:val="0"/>
          <w:marTop w:val="0"/>
          <w:marBottom w:val="0"/>
          <w:divBdr>
            <w:top w:val="none" w:sz="0" w:space="0" w:color="auto"/>
            <w:left w:val="none" w:sz="0" w:space="0" w:color="auto"/>
            <w:bottom w:val="none" w:sz="0" w:space="0" w:color="auto"/>
            <w:right w:val="none" w:sz="0" w:space="0" w:color="auto"/>
          </w:divBdr>
        </w:div>
        <w:div w:id="984508835">
          <w:marLeft w:val="0"/>
          <w:marRight w:val="0"/>
          <w:marTop w:val="0"/>
          <w:marBottom w:val="0"/>
          <w:divBdr>
            <w:top w:val="none" w:sz="0" w:space="0" w:color="auto"/>
            <w:left w:val="none" w:sz="0" w:space="0" w:color="auto"/>
            <w:bottom w:val="none" w:sz="0" w:space="0" w:color="auto"/>
            <w:right w:val="none" w:sz="0" w:space="0" w:color="auto"/>
          </w:divBdr>
          <w:divsChild>
            <w:div w:id="620957625">
              <w:marLeft w:val="-75"/>
              <w:marRight w:val="0"/>
              <w:marTop w:val="30"/>
              <w:marBottom w:val="30"/>
              <w:divBdr>
                <w:top w:val="none" w:sz="0" w:space="0" w:color="auto"/>
                <w:left w:val="none" w:sz="0" w:space="0" w:color="auto"/>
                <w:bottom w:val="none" w:sz="0" w:space="0" w:color="auto"/>
                <w:right w:val="none" w:sz="0" w:space="0" w:color="auto"/>
              </w:divBdr>
              <w:divsChild>
                <w:div w:id="1931433">
                  <w:marLeft w:val="0"/>
                  <w:marRight w:val="0"/>
                  <w:marTop w:val="0"/>
                  <w:marBottom w:val="0"/>
                  <w:divBdr>
                    <w:top w:val="none" w:sz="0" w:space="0" w:color="auto"/>
                    <w:left w:val="none" w:sz="0" w:space="0" w:color="auto"/>
                    <w:bottom w:val="none" w:sz="0" w:space="0" w:color="auto"/>
                    <w:right w:val="none" w:sz="0" w:space="0" w:color="auto"/>
                  </w:divBdr>
                  <w:divsChild>
                    <w:div w:id="285504817">
                      <w:marLeft w:val="0"/>
                      <w:marRight w:val="0"/>
                      <w:marTop w:val="0"/>
                      <w:marBottom w:val="0"/>
                      <w:divBdr>
                        <w:top w:val="none" w:sz="0" w:space="0" w:color="auto"/>
                        <w:left w:val="none" w:sz="0" w:space="0" w:color="auto"/>
                        <w:bottom w:val="none" w:sz="0" w:space="0" w:color="auto"/>
                        <w:right w:val="none" w:sz="0" w:space="0" w:color="auto"/>
                      </w:divBdr>
                    </w:div>
                    <w:div w:id="479150094">
                      <w:marLeft w:val="0"/>
                      <w:marRight w:val="0"/>
                      <w:marTop w:val="0"/>
                      <w:marBottom w:val="0"/>
                      <w:divBdr>
                        <w:top w:val="none" w:sz="0" w:space="0" w:color="auto"/>
                        <w:left w:val="none" w:sz="0" w:space="0" w:color="auto"/>
                        <w:bottom w:val="none" w:sz="0" w:space="0" w:color="auto"/>
                        <w:right w:val="none" w:sz="0" w:space="0" w:color="auto"/>
                      </w:divBdr>
                    </w:div>
                    <w:div w:id="1914580021">
                      <w:marLeft w:val="0"/>
                      <w:marRight w:val="0"/>
                      <w:marTop w:val="0"/>
                      <w:marBottom w:val="0"/>
                      <w:divBdr>
                        <w:top w:val="none" w:sz="0" w:space="0" w:color="auto"/>
                        <w:left w:val="none" w:sz="0" w:space="0" w:color="auto"/>
                        <w:bottom w:val="none" w:sz="0" w:space="0" w:color="auto"/>
                        <w:right w:val="none" w:sz="0" w:space="0" w:color="auto"/>
                      </w:divBdr>
                    </w:div>
                    <w:div w:id="2057579417">
                      <w:marLeft w:val="0"/>
                      <w:marRight w:val="0"/>
                      <w:marTop w:val="0"/>
                      <w:marBottom w:val="0"/>
                      <w:divBdr>
                        <w:top w:val="none" w:sz="0" w:space="0" w:color="auto"/>
                        <w:left w:val="none" w:sz="0" w:space="0" w:color="auto"/>
                        <w:bottom w:val="none" w:sz="0" w:space="0" w:color="auto"/>
                        <w:right w:val="none" w:sz="0" w:space="0" w:color="auto"/>
                      </w:divBdr>
                    </w:div>
                  </w:divsChild>
                </w:div>
                <w:div w:id="15079389">
                  <w:marLeft w:val="0"/>
                  <w:marRight w:val="0"/>
                  <w:marTop w:val="0"/>
                  <w:marBottom w:val="0"/>
                  <w:divBdr>
                    <w:top w:val="none" w:sz="0" w:space="0" w:color="auto"/>
                    <w:left w:val="none" w:sz="0" w:space="0" w:color="auto"/>
                    <w:bottom w:val="none" w:sz="0" w:space="0" w:color="auto"/>
                    <w:right w:val="none" w:sz="0" w:space="0" w:color="auto"/>
                  </w:divBdr>
                  <w:divsChild>
                    <w:div w:id="1972905133">
                      <w:marLeft w:val="0"/>
                      <w:marRight w:val="0"/>
                      <w:marTop w:val="0"/>
                      <w:marBottom w:val="0"/>
                      <w:divBdr>
                        <w:top w:val="none" w:sz="0" w:space="0" w:color="auto"/>
                        <w:left w:val="none" w:sz="0" w:space="0" w:color="auto"/>
                        <w:bottom w:val="none" w:sz="0" w:space="0" w:color="auto"/>
                        <w:right w:val="none" w:sz="0" w:space="0" w:color="auto"/>
                      </w:divBdr>
                    </w:div>
                  </w:divsChild>
                </w:div>
                <w:div w:id="41097312">
                  <w:marLeft w:val="0"/>
                  <w:marRight w:val="0"/>
                  <w:marTop w:val="0"/>
                  <w:marBottom w:val="0"/>
                  <w:divBdr>
                    <w:top w:val="none" w:sz="0" w:space="0" w:color="auto"/>
                    <w:left w:val="none" w:sz="0" w:space="0" w:color="auto"/>
                    <w:bottom w:val="none" w:sz="0" w:space="0" w:color="auto"/>
                    <w:right w:val="none" w:sz="0" w:space="0" w:color="auto"/>
                  </w:divBdr>
                  <w:divsChild>
                    <w:div w:id="126047833">
                      <w:marLeft w:val="0"/>
                      <w:marRight w:val="0"/>
                      <w:marTop w:val="0"/>
                      <w:marBottom w:val="0"/>
                      <w:divBdr>
                        <w:top w:val="none" w:sz="0" w:space="0" w:color="auto"/>
                        <w:left w:val="none" w:sz="0" w:space="0" w:color="auto"/>
                        <w:bottom w:val="none" w:sz="0" w:space="0" w:color="auto"/>
                        <w:right w:val="none" w:sz="0" w:space="0" w:color="auto"/>
                      </w:divBdr>
                    </w:div>
                    <w:div w:id="817575079">
                      <w:marLeft w:val="0"/>
                      <w:marRight w:val="0"/>
                      <w:marTop w:val="0"/>
                      <w:marBottom w:val="0"/>
                      <w:divBdr>
                        <w:top w:val="none" w:sz="0" w:space="0" w:color="auto"/>
                        <w:left w:val="none" w:sz="0" w:space="0" w:color="auto"/>
                        <w:bottom w:val="none" w:sz="0" w:space="0" w:color="auto"/>
                        <w:right w:val="none" w:sz="0" w:space="0" w:color="auto"/>
                      </w:divBdr>
                    </w:div>
                  </w:divsChild>
                </w:div>
                <w:div w:id="320163871">
                  <w:marLeft w:val="0"/>
                  <w:marRight w:val="0"/>
                  <w:marTop w:val="0"/>
                  <w:marBottom w:val="0"/>
                  <w:divBdr>
                    <w:top w:val="none" w:sz="0" w:space="0" w:color="auto"/>
                    <w:left w:val="none" w:sz="0" w:space="0" w:color="auto"/>
                    <w:bottom w:val="none" w:sz="0" w:space="0" w:color="auto"/>
                    <w:right w:val="none" w:sz="0" w:space="0" w:color="auto"/>
                  </w:divBdr>
                  <w:divsChild>
                    <w:div w:id="129325394">
                      <w:marLeft w:val="0"/>
                      <w:marRight w:val="0"/>
                      <w:marTop w:val="0"/>
                      <w:marBottom w:val="0"/>
                      <w:divBdr>
                        <w:top w:val="none" w:sz="0" w:space="0" w:color="auto"/>
                        <w:left w:val="none" w:sz="0" w:space="0" w:color="auto"/>
                        <w:bottom w:val="none" w:sz="0" w:space="0" w:color="auto"/>
                        <w:right w:val="none" w:sz="0" w:space="0" w:color="auto"/>
                      </w:divBdr>
                    </w:div>
                    <w:div w:id="1076122513">
                      <w:marLeft w:val="0"/>
                      <w:marRight w:val="0"/>
                      <w:marTop w:val="0"/>
                      <w:marBottom w:val="0"/>
                      <w:divBdr>
                        <w:top w:val="none" w:sz="0" w:space="0" w:color="auto"/>
                        <w:left w:val="none" w:sz="0" w:space="0" w:color="auto"/>
                        <w:bottom w:val="none" w:sz="0" w:space="0" w:color="auto"/>
                        <w:right w:val="none" w:sz="0" w:space="0" w:color="auto"/>
                      </w:divBdr>
                    </w:div>
                    <w:div w:id="2086368167">
                      <w:marLeft w:val="0"/>
                      <w:marRight w:val="0"/>
                      <w:marTop w:val="0"/>
                      <w:marBottom w:val="0"/>
                      <w:divBdr>
                        <w:top w:val="none" w:sz="0" w:space="0" w:color="auto"/>
                        <w:left w:val="none" w:sz="0" w:space="0" w:color="auto"/>
                        <w:bottom w:val="none" w:sz="0" w:space="0" w:color="auto"/>
                        <w:right w:val="none" w:sz="0" w:space="0" w:color="auto"/>
                      </w:divBdr>
                    </w:div>
                  </w:divsChild>
                </w:div>
                <w:div w:id="388383285">
                  <w:marLeft w:val="0"/>
                  <w:marRight w:val="0"/>
                  <w:marTop w:val="0"/>
                  <w:marBottom w:val="0"/>
                  <w:divBdr>
                    <w:top w:val="none" w:sz="0" w:space="0" w:color="auto"/>
                    <w:left w:val="none" w:sz="0" w:space="0" w:color="auto"/>
                    <w:bottom w:val="none" w:sz="0" w:space="0" w:color="auto"/>
                    <w:right w:val="none" w:sz="0" w:space="0" w:color="auto"/>
                  </w:divBdr>
                  <w:divsChild>
                    <w:div w:id="1711219461">
                      <w:marLeft w:val="0"/>
                      <w:marRight w:val="0"/>
                      <w:marTop w:val="0"/>
                      <w:marBottom w:val="0"/>
                      <w:divBdr>
                        <w:top w:val="none" w:sz="0" w:space="0" w:color="auto"/>
                        <w:left w:val="none" w:sz="0" w:space="0" w:color="auto"/>
                        <w:bottom w:val="none" w:sz="0" w:space="0" w:color="auto"/>
                        <w:right w:val="none" w:sz="0" w:space="0" w:color="auto"/>
                      </w:divBdr>
                    </w:div>
                  </w:divsChild>
                </w:div>
                <w:div w:id="454298578">
                  <w:marLeft w:val="0"/>
                  <w:marRight w:val="0"/>
                  <w:marTop w:val="0"/>
                  <w:marBottom w:val="0"/>
                  <w:divBdr>
                    <w:top w:val="none" w:sz="0" w:space="0" w:color="auto"/>
                    <w:left w:val="none" w:sz="0" w:space="0" w:color="auto"/>
                    <w:bottom w:val="none" w:sz="0" w:space="0" w:color="auto"/>
                    <w:right w:val="none" w:sz="0" w:space="0" w:color="auto"/>
                  </w:divBdr>
                  <w:divsChild>
                    <w:div w:id="993754989">
                      <w:marLeft w:val="0"/>
                      <w:marRight w:val="0"/>
                      <w:marTop w:val="0"/>
                      <w:marBottom w:val="0"/>
                      <w:divBdr>
                        <w:top w:val="none" w:sz="0" w:space="0" w:color="auto"/>
                        <w:left w:val="none" w:sz="0" w:space="0" w:color="auto"/>
                        <w:bottom w:val="none" w:sz="0" w:space="0" w:color="auto"/>
                        <w:right w:val="none" w:sz="0" w:space="0" w:color="auto"/>
                      </w:divBdr>
                    </w:div>
                    <w:div w:id="1089615801">
                      <w:marLeft w:val="0"/>
                      <w:marRight w:val="0"/>
                      <w:marTop w:val="0"/>
                      <w:marBottom w:val="0"/>
                      <w:divBdr>
                        <w:top w:val="none" w:sz="0" w:space="0" w:color="auto"/>
                        <w:left w:val="none" w:sz="0" w:space="0" w:color="auto"/>
                        <w:bottom w:val="none" w:sz="0" w:space="0" w:color="auto"/>
                        <w:right w:val="none" w:sz="0" w:space="0" w:color="auto"/>
                      </w:divBdr>
                    </w:div>
                  </w:divsChild>
                </w:div>
                <w:div w:id="491062372">
                  <w:marLeft w:val="0"/>
                  <w:marRight w:val="0"/>
                  <w:marTop w:val="0"/>
                  <w:marBottom w:val="0"/>
                  <w:divBdr>
                    <w:top w:val="none" w:sz="0" w:space="0" w:color="auto"/>
                    <w:left w:val="none" w:sz="0" w:space="0" w:color="auto"/>
                    <w:bottom w:val="none" w:sz="0" w:space="0" w:color="auto"/>
                    <w:right w:val="none" w:sz="0" w:space="0" w:color="auto"/>
                  </w:divBdr>
                  <w:divsChild>
                    <w:div w:id="719473923">
                      <w:marLeft w:val="0"/>
                      <w:marRight w:val="0"/>
                      <w:marTop w:val="0"/>
                      <w:marBottom w:val="0"/>
                      <w:divBdr>
                        <w:top w:val="none" w:sz="0" w:space="0" w:color="auto"/>
                        <w:left w:val="none" w:sz="0" w:space="0" w:color="auto"/>
                        <w:bottom w:val="none" w:sz="0" w:space="0" w:color="auto"/>
                        <w:right w:val="none" w:sz="0" w:space="0" w:color="auto"/>
                      </w:divBdr>
                    </w:div>
                  </w:divsChild>
                </w:div>
                <w:div w:id="538976062">
                  <w:marLeft w:val="0"/>
                  <w:marRight w:val="0"/>
                  <w:marTop w:val="0"/>
                  <w:marBottom w:val="0"/>
                  <w:divBdr>
                    <w:top w:val="none" w:sz="0" w:space="0" w:color="auto"/>
                    <w:left w:val="none" w:sz="0" w:space="0" w:color="auto"/>
                    <w:bottom w:val="none" w:sz="0" w:space="0" w:color="auto"/>
                    <w:right w:val="none" w:sz="0" w:space="0" w:color="auto"/>
                  </w:divBdr>
                  <w:divsChild>
                    <w:div w:id="1621954744">
                      <w:marLeft w:val="0"/>
                      <w:marRight w:val="0"/>
                      <w:marTop w:val="0"/>
                      <w:marBottom w:val="0"/>
                      <w:divBdr>
                        <w:top w:val="none" w:sz="0" w:space="0" w:color="auto"/>
                        <w:left w:val="none" w:sz="0" w:space="0" w:color="auto"/>
                        <w:bottom w:val="none" w:sz="0" w:space="0" w:color="auto"/>
                        <w:right w:val="none" w:sz="0" w:space="0" w:color="auto"/>
                      </w:divBdr>
                    </w:div>
                    <w:div w:id="1905989547">
                      <w:marLeft w:val="0"/>
                      <w:marRight w:val="0"/>
                      <w:marTop w:val="0"/>
                      <w:marBottom w:val="0"/>
                      <w:divBdr>
                        <w:top w:val="none" w:sz="0" w:space="0" w:color="auto"/>
                        <w:left w:val="none" w:sz="0" w:space="0" w:color="auto"/>
                        <w:bottom w:val="none" w:sz="0" w:space="0" w:color="auto"/>
                        <w:right w:val="none" w:sz="0" w:space="0" w:color="auto"/>
                      </w:divBdr>
                    </w:div>
                    <w:div w:id="2001880316">
                      <w:marLeft w:val="0"/>
                      <w:marRight w:val="0"/>
                      <w:marTop w:val="0"/>
                      <w:marBottom w:val="0"/>
                      <w:divBdr>
                        <w:top w:val="none" w:sz="0" w:space="0" w:color="auto"/>
                        <w:left w:val="none" w:sz="0" w:space="0" w:color="auto"/>
                        <w:bottom w:val="none" w:sz="0" w:space="0" w:color="auto"/>
                        <w:right w:val="none" w:sz="0" w:space="0" w:color="auto"/>
                      </w:divBdr>
                    </w:div>
                  </w:divsChild>
                </w:div>
                <w:div w:id="579100487">
                  <w:marLeft w:val="0"/>
                  <w:marRight w:val="0"/>
                  <w:marTop w:val="0"/>
                  <w:marBottom w:val="0"/>
                  <w:divBdr>
                    <w:top w:val="none" w:sz="0" w:space="0" w:color="auto"/>
                    <w:left w:val="none" w:sz="0" w:space="0" w:color="auto"/>
                    <w:bottom w:val="none" w:sz="0" w:space="0" w:color="auto"/>
                    <w:right w:val="none" w:sz="0" w:space="0" w:color="auto"/>
                  </w:divBdr>
                  <w:divsChild>
                    <w:div w:id="299187045">
                      <w:marLeft w:val="0"/>
                      <w:marRight w:val="0"/>
                      <w:marTop w:val="0"/>
                      <w:marBottom w:val="0"/>
                      <w:divBdr>
                        <w:top w:val="none" w:sz="0" w:space="0" w:color="auto"/>
                        <w:left w:val="none" w:sz="0" w:space="0" w:color="auto"/>
                        <w:bottom w:val="none" w:sz="0" w:space="0" w:color="auto"/>
                        <w:right w:val="none" w:sz="0" w:space="0" w:color="auto"/>
                      </w:divBdr>
                    </w:div>
                    <w:div w:id="1297224449">
                      <w:marLeft w:val="0"/>
                      <w:marRight w:val="0"/>
                      <w:marTop w:val="0"/>
                      <w:marBottom w:val="0"/>
                      <w:divBdr>
                        <w:top w:val="none" w:sz="0" w:space="0" w:color="auto"/>
                        <w:left w:val="none" w:sz="0" w:space="0" w:color="auto"/>
                        <w:bottom w:val="none" w:sz="0" w:space="0" w:color="auto"/>
                        <w:right w:val="none" w:sz="0" w:space="0" w:color="auto"/>
                      </w:divBdr>
                    </w:div>
                  </w:divsChild>
                </w:div>
                <w:div w:id="600183108">
                  <w:marLeft w:val="0"/>
                  <w:marRight w:val="0"/>
                  <w:marTop w:val="0"/>
                  <w:marBottom w:val="0"/>
                  <w:divBdr>
                    <w:top w:val="none" w:sz="0" w:space="0" w:color="auto"/>
                    <w:left w:val="none" w:sz="0" w:space="0" w:color="auto"/>
                    <w:bottom w:val="none" w:sz="0" w:space="0" w:color="auto"/>
                    <w:right w:val="none" w:sz="0" w:space="0" w:color="auto"/>
                  </w:divBdr>
                  <w:divsChild>
                    <w:div w:id="1182427187">
                      <w:marLeft w:val="0"/>
                      <w:marRight w:val="0"/>
                      <w:marTop w:val="0"/>
                      <w:marBottom w:val="0"/>
                      <w:divBdr>
                        <w:top w:val="none" w:sz="0" w:space="0" w:color="auto"/>
                        <w:left w:val="none" w:sz="0" w:space="0" w:color="auto"/>
                        <w:bottom w:val="none" w:sz="0" w:space="0" w:color="auto"/>
                        <w:right w:val="none" w:sz="0" w:space="0" w:color="auto"/>
                      </w:divBdr>
                    </w:div>
                  </w:divsChild>
                </w:div>
                <w:div w:id="833688472">
                  <w:marLeft w:val="0"/>
                  <w:marRight w:val="0"/>
                  <w:marTop w:val="0"/>
                  <w:marBottom w:val="0"/>
                  <w:divBdr>
                    <w:top w:val="none" w:sz="0" w:space="0" w:color="auto"/>
                    <w:left w:val="none" w:sz="0" w:space="0" w:color="auto"/>
                    <w:bottom w:val="none" w:sz="0" w:space="0" w:color="auto"/>
                    <w:right w:val="none" w:sz="0" w:space="0" w:color="auto"/>
                  </w:divBdr>
                  <w:divsChild>
                    <w:div w:id="837042328">
                      <w:marLeft w:val="0"/>
                      <w:marRight w:val="0"/>
                      <w:marTop w:val="0"/>
                      <w:marBottom w:val="0"/>
                      <w:divBdr>
                        <w:top w:val="none" w:sz="0" w:space="0" w:color="auto"/>
                        <w:left w:val="none" w:sz="0" w:space="0" w:color="auto"/>
                        <w:bottom w:val="none" w:sz="0" w:space="0" w:color="auto"/>
                        <w:right w:val="none" w:sz="0" w:space="0" w:color="auto"/>
                      </w:divBdr>
                    </w:div>
                  </w:divsChild>
                </w:div>
                <w:div w:id="862742797">
                  <w:marLeft w:val="0"/>
                  <w:marRight w:val="0"/>
                  <w:marTop w:val="0"/>
                  <w:marBottom w:val="0"/>
                  <w:divBdr>
                    <w:top w:val="none" w:sz="0" w:space="0" w:color="auto"/>
                    <w:left w:val="none" w:sz="0" w:space="0" w:color="auto"/>
                    <w:bottom w:val="none" w:sz="0" w:space="0" w:color="auto"/>
                    <w:right w:val="none" w:sz="0" w:space="0" w:color="auto"/>
                  </w:divBdr>
                  <w:divsChild>
                    <w:div w:id="940993248">
                      <w:marLeft w:val="0"/>
                      <w:marRight w:val="0"/>
                      <w:marTop w:val="0"/>
                      <w:marBottom w:val="0"/>
                      <w:divBdr>
                        <w:top w:val="none" w:sz="0" w:space="0" w:color="auto"/>
                        <w:left w:val="none" w:sz="0" w:space="0" w:color="auto"/>
                        <w:bottom w:val="none" w:sz="0" w:space="0" w:color="auto"/>
                        <w:right w:val="none" w:sz="0" w:space="0" w:color="auto"/>
                      </w:divBdr>
                    </w:div>
                  </w:divsChild>
                </w:div>
                <w:div w:id="869760254">
                  <w:marLeft w:val="0"/>
                  <w:marRight w:val="0"/>
                  <w:marTop w:val="0"/>
                  <w:marBottom w:val="0"/>
                  <w:divBdr>
                    <w:top w:val="none" w:sz="0" w:space="0" w:color="auto"/>
                    <w:left w:val="none" w:sz="0" w:space="0" w:color="auto"/>
                    <w:bottom w:val="none" w:sz="0" w:space="0" w:color="auto"/>
                    <w:right w:val="none" w:sz="0" w:space="0" w:color="auto"/>
                  </w:divBdr>
                  <w:divsChild>
                    <w:div w:id="1331762546">
                      <w:marLeft w:val="0"/>
                      <w:marRight w:val="0"/>
                      <w:marTop w:val="0"/>
                      <w:marBottom w:val="0"/>
                      <w:divBdr>
                        <w:top w:val="none" w:sz="0" w:space="0" w:color="auto"/>
                        <w:left w:val="none" w:sz="0" w:space="0" w:color="auto"/>
                        <w:bottom w:val="none" w:sz="0" w:space="0" w:color="auto"/>
                        <w:right w:val="none" w:sz="0" w:space="0" w:color="auto"/>
                      </w:divBdr>
                    </w:div>
                  </w:divsChild>
                </w:div>
                <w:div w:id="886725043">
                  <w:marLeft w:val="0"/>
                  <w:marRight w:val="0"/>
                  <w:marTop w:val="0"/>
                  <w:marBottom w:val="0"/>
                  <w:divBdr>
                    <w:top w:val="none" w:sz="0" w:space="0" w:color="auto"/>
                    <w:left w:val="none" w:sz="0" w:space="0" w:color="auto"/>
                    <w:bottom w:val="none" w:sz="0" w:space="0" w:color="auto"/>
                    <w:right w:val="none" w:sz="0" w:space="0" w:color="auto"/>
                  </w:divBdr>
                  <w:divsChild>
                    <w:div w:id="1666781649">
                      <w:marLeft w:val="0"/>
                      <w:marRight w:val="0"/>
                      <w:marTop w:val="0"/>
                      <w:marBottom w:val="0"/>
                      <w:divBdr>
                        <w:top w:val="none" w:sz="0" w:space="0" w:color="auto"/>
                        <w:left w:val="none" w:sz="0" w:space="0" w:color="auto"/>
                        <w:bottom w:val="none" w:sz="0" w:space="0" w:color="auto"/>
                        <w:right w:val="none" w:sz="0" w:space="0" w:color="auto"/>
                      </w:divBdr>
                    </w:div>
                    <w:div w:id="2146503829">
                      <w:marLeft w:val="0"/>
                      <w:marRight w:val="0"/>
                      <w:marTop w:val="0"/>
                      <w:marBottom w:val="0"/>
                      <w:divBdr>
                        <w:top w:val="none" w:sz="0" w:space="0" w:color="auto"/>
                        <w:left w:val="none" w:sz="0" w:space="0" w:color="auto"/>
                        <w:bottom w:val="none" w:sz="0" w:space="0" w:color="auto"/>
                        <w:right w:val="none" w:sz="0" w:space="0" w:color="auto"/>
                      </w:divBdr>
                    </w:div>
                  </w:divsChild>
                </w:div>
                <w:div w:id="1049693432">
                  <w:marLeft w:val="0"/>
                  <w:marRight w:val="0"/>
                  <w:marTop w:val="0"/>
                  <w:marBottom w:val="0"/>
                  <w:divBdr>
                    <w:top w:val="none" w:sz="0" w:space="0" w:color="auto"/>
                    <w:left w:val="none" w:sz="0" w:space="0" w:color="auto"/>
                    <w:bottom w:val="none" w:sz="0" w:space="0" w:color="auto"/>
                    <w:right w:val="none" w:sz="0" w:space="0" w:color="auto"/>
                  </w:divBdr>
                  <w:divsChild>
                    <w:div w:id="287854432">
                      <w:marLeft w:val="0"/>
                      <w:marRight w:val="0"/>
                      <w:marTop w:val="0"/>
                      <w:marBottom w:val="0"/>
                      <w:divBdr>
                        <w:top w:val="none" w:sz="0" w:space="0" w:color="auto"/>
                        <w:left w:val="none" w:sz="0" w:space="0" w:color="auto"/>
                        <w:bottom w:val="none" w:sz="0" w:space="0" w:color="auto"/>
                        <w:right w:val="none" w:sz="0" w:space="0" w:color="auto"/>
                      </w:divBdr>
                    </w:div>
                  </w:divsChild>
                </w:div>
                <w:div w:id="1173490661">
                  <w:marLeft w:val="0"/>
                  <w:marRight w:val="0"/>
                  <w:marTop w:val="0"/>
                  <w:marBottom w:val="0"/>
                  <w:divBdr>
                    <w:top w:val="none" w:sz="0" w:space="0" w:color="auto"/>
                    <w:left w:val="none" w:sz="0" w:space="0" w:color="auto"/>
                    <w:bottom w:val="none" w:sz="0" w:space="0" w:color="auto"/>
                    <w:right w:val="none" w:sz="0" w:space="0" w:color="auto"/>
                  </w:divBdr>
                  <w:divsChild>
                    <w:div w:id="24140691">
                      <w:marLeft w:val="0"/>
                      <w:marRight w:val="0"/>
                      <w:marTop w:val="0"/>
                      <w:marBottom w:val="0"/>
                      <w:divBdr>
                        <w:top w:val="none" w:sz="0" w:space="0" w:color="auto"/>
                        <w:left w:val="none" w:sz="0" w:space="0" w:color="auto"/>
                        <w:bottom w:val="none" w:sz="0" w:space="0" w:color="auto"/>
                        <w:right w:val="none" w:sz="0" w:space="0" w:color="auto"/>
                      </w:divBdr>
                    </w:div>
                    <w:div w:id="351342683">
                      <w:marLeft w:val="0"/>
                      <w:marRight w:val="0"/>
                      <w:marTop w:val="0"/>
                      <w:marBottom w:val="0"/>
                      <w:divBdr>
                        <w:top w:val="none" w:sz="0" w:space="0" w:color="auto"/>
                        <w:left w:val="none" w:sz="0" w:space="0" w:color="auto"/>
                        <w:bottom w:val="none" w:sz="0" w:space="0" w:color="auto"/>
                        <w:right w:val="none" w:sz="0" w:space="0" w:color="auto"/>
                      </w:divBdr>
                    </w:div>
                  </w:divsChild>
                </w:div>
                <w:div w:id="1256599736">
                  <w:marLeft w:val="0"/>
                  <w:marRight w:val="0"/>
                  <w:marTop w:val="0"/>
                  <w:marBottom w:val="0"/>
                  <w:divBdr>
                    <w:top w:val="none" w:sz="0" w:space="0" w:color="auto"/>
                    <w:left w:val="none" w:sz="0" w:space="0" w:color="auto"/>
                    <w:bottom w:val="none" w:sz="0" w:space="0" w:color="auto"/>
                    <w:right w:val="none" w:sz="0" w:space="0" w:color="auto"/>
                  </w:divBdr>
                  <w:divsChild>
                    <w:div w:id="135756026">
                      <w:marLeft w:val="0"/>
                      <w:marRight w:val="0"/>
                      <w:marTop w:val="0"/>
                      <w:marBottom w:val="0"/>
                      <w:divBdr>
                        <w:top w:val="none" w:sz="0" w:space="0" w:color="auto"/>
                        <w:left w:val="none" w:sz="0" w:space="0" w:color="auto"/>
                        <w:bottom w:val="none" w:sz="0" w:space="0" w:color="auto"/>
                        <w:right w:val="none" w:sz="0" w:space="0" w:color="auto"/>
                      </w:divBdr>
                    </w:div>
                  </w:divsChild>
                </w:div>
                <w:div w:id="1404524989">
                  <w:marLeft w:val="0"/>
                  <w:marRight w:val="0"/>
                  <w:marTop w:val="0"/>
                  <w:marBottom w:val="0"/>
                  <w:divBdr>
                    <w:top w:val="none" w:sz="0" w:space="0" w:color="auto"/>
                    <w:left w:val="none" w:sz="0" w:space="0" w:color="auto"/>
                    <w:bottom w:val="none" w:sz="0" w:space="0" w:color="auto"/>
                    <w:right w:val="none" w:sz="0" w:space="0" w:color="auto"/>
                  </w:divBdr>
                  <w:divsChild>
                    <w:div w:id="1443381061">
                      <w:marLeft w:val="0"/>
                      <w:marRight w:val="0"/>
                      <w:marTop w:val="0"/>
                      <w:marBottom w:val="0"/>
                      <w:divBdr>
                        <w:top w:val="none" w:sz="0" w:space="0" w:color="auto"/>
                        <w:left w:val="none" w:sz="0" w:space="0" w:color="auto"/>
                        <w:bottom w:val="none" w:sz="0" w:space="0" w:color="auto"/>
                        <w:right w:val="none" w:sz="0" w:space="0" w:color="auto"/>
                      </w:divBdr>
                    </w:div>
                  </w:divsChild>
                </w:div>
                <w:div w:id="1486317859">
                  <w:marLeft w:val="0"/>
                  <w:marRight w:val="0"/>
                  <w:marTop w:val="0"/>
                  <w:marBottom w:val="0"/>
                  <w:divBdr>
                    <w:top w:val="none" w:sz="0" w:space="0" w:color="auto"/>
                    <w:left w:val="none" w:sz="0" w:space="0" w:color="auto"/>
                    <w:bottom w:val="none" w:sz="0" w:space="0" w:color="auto"/>
                    <w:right w:val="none" w:sz="0" w:space="0" w:color="auto"/>
                  </w:divBdr>
                  <w:divsChild>
                    <w:div w:id="1108089566">
                      <w:marLeft w:val="0"/>
                      <w:marRight w:val="0"/>
                      <w:marTop w:val="0"/>
                      <w:marBottom w:val="0"/>
                      <w:divBdr>
                        <w:top w:val="none" w:sz="0" w:space="0" w:color="auto"/>
                        <w:left w:val="none" w:sz="0" w:space="0" w:color="auto"/>
                        <w:bottom w:val="none" w:sz="0" w:space="0" w:color="auto"/>
                        <w:right w:val="none" w:sz="0" w:space="0" w:color="auto"/>
                      </w:divBdr>
                    </w:div>
                    <w:div w:id="1528710307">
                      <w:marLeft w:val="0"/>
                      <w:marRight w:val="0"/>
                      <w:marTop w:val="0"/>
                      <w:marBottom w:val="0"/>
                      <w:divBdr>
                        <w:top w:val="none" w:sz="0" w:space="0" w:color="auto"/>
                        <w:left w:val="none" w:sz="0" w:space="0" w:color="auto"/>
                        <w:bottom w:val="none" w:sz="0" w:space="0" w:color="auto"/>
                        <w:right w:val="none" w:sz="0" w:space="0" w:color="auto"/>
                      </w:divBdr>
                    </w:div>
                  </w:divsChild>
                </w:div>
                <w:div w:id="1653562717">
                  <w:marLeft w:val="0"/>
                  <w:marRight w:val="0"/>
                  <w:marTop w:val="0"/>
                  <w:marBottom w:val="0"/>
                  <w:divBdr>
                    <w:top w:val="none" w:sz="0" w:space="0" w:color="auto"/>
                    <w:left w:val="none" w:sz="0" w:space="0" w:color="auto"/>
                    <w:bottom w:val="none" w:sz="0" w:space="0" w:color="auto"/>
                    <w:right w:val="none" w:sz="0" w:space="0" w:color="auto"/>
                  </w:divBdr>
                  <w:divsChild>
                    <w:div w:id="1326545801">
                      <w:marLeft w:val="0"/>
                      <w:marRight w:val="0"/>
                      <w:marTop w:val="0"/>
                      <w:marBottom w:val="0"/>
                      <w:divBdr>
                        <w:top w:val="none" w:sz="0" w:space="0" w:color="auto"/>
                        <w:left w:val="none" w:sz="0" w:space="0" w:color="auto"/>
                        <w:bottom w:val="none" w:sz="0" w:space="0" w:color="auto"/>
                        <w:right w:val="none" w:sz="0" w:space="0" w:color="auto"/>
                      </w:divBdr>
                    </w:div>
                    <w:div w:id="1945259243">
                      <w:marLeft w:val="0"/>
                      <w:marRight w:val="0"/>
                      <w:marTop w:val="0"/>
                      <w:marBottom w:val="0"/>
                      <w:divBdr>
                        <w:top w:val="none" w:sz="0" w:space="0" w:color="auto"/>
                        <w:left w:val="none" w:sz="0" w:space="0" w:color="auto"/>
                        <w:bottom w:val="none" w:sz="0" w:space="0" w:color="auto"/>
                        <w:right w:val="none" w:sz="0" w:space="0" w:color="auto"/>
                      </w:divBdr>
                    </w:div>
                  </w:divsChild>
                </w:div>
                <w:div w:id="1993363253">
                  <w:marLeft w:val="0"/>
                  <w:marRight w:val="0"/>
                  <w:marTop w:val="0"/>
                  <w:marBottom w:val="0"/>
                  <w:divBdr>
                    <w:top w:val="none" w:sz="0" w:space="0" w:color="auto"/>
                    <w:left w:val="none" w:sz="0" w:space="0" w:color="auto"/>
                    <w:bottom w:val="none" w:sz="0" w:space="0" w:color="auto"/>
                    <w:right w:val="none" w:sz="0" w:space="0" w:color="auto"/>
                  </w:divBdr>
                  <w:divsChild>
                    <w:div w:id="59981441">
                      <w:marLeft w:val="0"/>
                      <w:marRight w:val="0"/>
                      <w:marTop w:val="0"/>
                      <w:marBottom w:val="0"/>
                      <w:divBdr>
                        <w:top w:val="none" w:sz="0" w:space="0" w:color="auto"/>
                        <w:left w:val="none" w:sz="0" w:space="0" w:color="auto"/>
                        <w:bottom w:val="none" w:sz="0" w:space="0" w:color="auto"/>
                        <w:right w:val="none" w:sz="0" w:space="0" w:color="auto"/>
                      </w:divBdr>
                    </w:div>
                    <w:div w:id="1699503431">
                      <w:marLeft w:val="0"/>
                      <w:marRight w:val="0"/>
                      <w:marTop w:val="0"/>
                      <w:marBottom w:val="0"/>
                      <w:divBdr>
                        <w:top w:val="none" w:sz="0" w:space="0" w:color="auto"/>
                        <w:left w:val="none" w:sz="0" w:space="0" w:color="auto"/>
                        <w:bottom w:val="none" w:sz="0" w:space="0" w:color="auto"/>
                        <w:right w:val="none" w:sz="0" w:space="0" w:color="auto"/>
                      </w:divBdr>
                    </w:div>
                  </w:divsChild>
                </w:div>
                <w:div w:id="2002999107">
                  <w:marLeft w:val="0"/>
                  <w:marRight w:val="0"/>
                  <w:marTop w:val="0"/>
                  <w:marBottom w:val="0"/>
                  <w:divBdr>
                    <w:top w:val="none" w:sz="0" w:space="0" w:color="auto"/>
                    <w:left w:val="none" w:sz="0" w:space="0" w:color="auto"/>
                    <w:bottom w:val="none" w:sz="0" w:space="0" w:color="auto"/>
                    <w:right w:val="none" w:sz="0" w:space="0" w:color="auto"/>
                  </w:divBdr>
                  <w:divsChild>
                    <w:div w:id="312833776">
                      <w:marLeft w:val="0"/>
                      <w:marRight w:val="0"/>
                      <w:marTop w:val="0"/>
                      <w:marBottom w:val="0"/>
                      <w:divBdr>
                        <w:top w:val="none" w:sz="0" w:space="0" w:color="auto"/>
                        <w:left w:val="none" w:sz="0" w:space="0" w:color="auto"/>
                        <w:bottom w:val="none" w:sz="0" w:space="0" w:color="auto"/>
                        <w:right w:val="none" w:sz="0" w:space="0" w:color="auto"/>
                      </w:divBdr>
                    </w:div>
                  </w:divsChild>
                </w:div>
                <w:div w:id="2113240997">
                  <w:marLeft w:val="0"/>
                  <w:marRight w:val="0"/>
                  <w:marTop w:val="0"/>
                  <w:marBottom w:val="0"/>
                  <w:divBdr>
                    <w:top w:val="none" w:sz="0" w:space="0" w:color="auto"/>
                    <w:left w:val="none" w:sz="0" w:space="0" w:color="auto"/>
                    <w:bottom w:val="none" w:sz="0" w:space="0" w:color="auto"/>
                    <w:right w:val="none" w:sz="0" w:space="0" w:color="auto"/>
                  </w:divBdr>
                  <w:divsChild>
                    <w:div w:id="258026281">
                      <w:marLeft w:val="0"/>
                      <w:marRight w:val="0"/>
                      <w:marTop w:val="0"/>
                      <w:marBottom w:val="0"/>
                      <w:divBdr>
                        <w:top w:val="none" w:sz="0" w:space="0" w:color="auto"/>
                        <w:left w:val="none" w:sz="0" w:space="0" w:color="auto"/>
                        <w:bottom w:val="none" w:sz="0" w:space="0" w:color="auto"/>
                        <w:right w:val="none" w:sz="0" w:space="0" w:color="auto"/>
                      </w:divBdr>
                    </w:div>
                    <w:div w:id="1543983410">
                      <w:marLeft w:val="0"/>
                      <w:marRight w:val="0"/>
                      <w:marTop w:val="0"/>
                      <w:marBottom w:val="0"/>
                      <w:divBdr>
                        <w:top w:val="none" w:sz="0" w:space="0" w:color="auto"/>
                        <w:left w:val="none" w:sz="0" w:space="0" w:color="auto"/>
                        <w:bottom w:val="none" w:sz="0" w:space="0" w:color="auto"/>
                        <w:right w:val="none" w:sz="0" w:space="0" w:color="auto"/>
                      </w:divBdr>
                    </w:div>
                  </w:divsChild>
                </w:div>
                <w:div w:id="2113622588">
                  <w:marLeft w:val="0"/>
                  <w:marRight w:val="0"/>
                  <w:marTop w:val="0"/>
                  <w:marBottom w:val="0"/>
                  <w:divBdr>
                    <w:top w:val="none" w:sz="0" w:space="0" w:color="auto"/>
                    <w:left w:val="none" w:sz="0" w:space="0" w:color="auto"/>
                    <w:bottom w:val="none" w:sz="0" w:space="0" w:color="auto"/>
                    <w:right w:val="none" w:sz="0" w:space="0" w:color="auto"/>
                  </w:divBdr>
                  <w:divsChild>
                    <w:div w:id="147390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9191">
          <w:marLeft w:val="0"/>
          <w:marRight w:val="0"/>
          <w:marTop w:val="0"/>
          <w:marBottom w:val="0"/>
          <w:divBdr>
            <w:top w:val="none" w:sz="0" w:space="0" w:color="auto"/>
            <w:left w:val="none" w:sz="0" w:space="0" w:color="auto"/>
            <w:bottom w:val="none" w:sz="0" w:space="0" w:color="auto"/>
            <w:right w:val="none" w:sz="0" w:space="0" w:color="auto"/>
          </w:divBdr>
        </w:div>
        <w:div w:id="1216772630">
          <w:marLeft w:val="0"/>
          <w:marRight w:val="0"/>
          <w:marTop w:val="0"/>
          <w:marBottom w:val="0"/>
          <w:divBdr>
            <w:top w:val="none" w:sz="0" w:space="0" w:color="auto"/>
            <w:left w:val="none" w:sz="0" w:space="0" w:color="auto"/>
            <w:bottom w:val="none" w:sz="0" w:space="0" w:color="auto"/>
            <w:right w:val="none" w:sz="0" w:space="0" w:color="auto"/>
          </w:divBdr>
        </w:div>
        <w:div w:id="1285700117">
          <w:marLeft w:val="0"/>
          <w:marRight w:val="0"/>
          <w:marTop w:val="0"/>
          <w:marBottom w:val="0"/>
          <w:divBdr>
            <w:top w:val="none" w:sz="0" w:space="0" w:color="auto"/>
            <w:left w:val="none" w:sz="0" w:space="0" w:color="auto"/>
            <w:bottom w:val="none" w:sz="0" w:space="0" w:color="auto"/>
            <w:right w:val="none" w:sz="0" w:space="0" w:color="auto"/>
          </w:divBdr>
        </w:div>
        <w:div w:id="1436484243">
          <w:marLeft w:val="0"/>
          <w:marRight w:val="0"/>
          <w:marTop w:val="0"/>
          <w:marBottom w:val="0"/>
          <w:divBdr>
            <w:top w:val="none" w:sz="0" w:space="0" w:color="auto"/>
            <w:left w:val="none" w:sz="0" w:space="0" w:color="auto"/>
            <w:bottom w:val="none" w:sz="0" w:space="0" w:color="auto"/>
            <w:right w:val="none" w:sz="0" w:space="0" w:color="auto"/>
          </w:divBdr>
        </w:div>
        <w:div w:id="1574658746">
          <w:marLeft w:val="0"/>
          <w:marRight w:val="0"/>
          <w:marTop w:val="0"/>
          <w:marBottom w:val="0"/>
          <w:divBdr>
            <w:top w:val="none" w:sz="0" w:space="0" w:color="auto"/>
            <w:left w:val="none" w:sz="0" w:space="0" w:color="auto"/>
            <w:bottom w:val="none" w:sz="0" w:space="0" w:color="auto"/>
            <w:right w:val="none" w:sz="0" w:space="0" w:color="auto"/>
          </w:divBdr>
        </w:div>
        <w:div w:id="1699040467">
          <w:marLeft w:val="0"/>
          <w:marRight w:val="0"/>
          <w:marTop w:val="0"/>
          <w:marBottom w:val="0"/>
          <w:divBdr>
            <w:top w:val="none" w:sz="0" w:space="0" w:color="auto"/>
            <w:left w:val="none" w:sz="0" w:space="0" w:color="auto"/>
            <w:bottom w:val="none" w:sz="0" w:space="0" w:color="auto"/>
            <w:right w:val="none" w:sz="0" w:space="0" w:color="auto"/>
          </w:divBdr>
        </w:div>
        <w:div w:id="1797406770">
          <w:marLeft w:val="0"/>
          <w:marRight w:val="0"/>
          <w:marTop w:val="0"/>
          <w:marBottom w:val="0"/>
          <w:divBdr>
            <w:top w:val="none" w:sz="0" w:space="0" w:color="auto"/>
            <w:left w:val="none" w:sz="0" w:space="0" w:color="auto"/>
            <w:bottom w:val="none" w:sz="0" w:space="0" w:color="auto"/>
            <w:right w:val="none" w:sz="0" w:space="0" w:color="auto"/>
          </w:divBdr>
        </w:div>
        <w:div w:id="1890530944">
          <w:marLeft w:val="0"/>
          <w:marRight w:val="0"/>
          <w:marTop w:val="0"/>
          <w:marBottom w:val="0"/>
          <w:divBdr>
            <w:top w:val="none" w:sz="0" w:space="0" w:color="auto"/>
            <w:left w:val="none" w:sz="0" w:space="0" w:color="auto"/>
            <w:bottom w:val="none" w:sz="0" w:space="0" w:color="auto"/>
            <w:right w:val="none" w:sz="0" w:space="0" w:color="auto"/>
          </w:divBdr>
        </w:div>
        <w:div w:id="2084794150">
          <w:marLeft w:val="0"/>
          <w:marRight w:val="0"/>
          <w:marTop w:val="0"/>
          <w:marBottom w:val="0"/>
          <w:divBdr>
            <w:top w:val="none" w:sz="0" w:space="0" w:color="auto"/>
            <w:left w:val="none" w:sz="0" w:space="0" w:color="auto"/>
            <w:bottom w:val="none" w:sz="0" w:space="0" w:color="auto"/>
            <w:right w:val="none" w:sz="0" w:space="0" w:color="auto"/>
          </w:divBdr>
        </w:div>
      </w:divsChild>
    </w:div>
    <w:div w:id="891424299">
      <w:bodyDiv w:val="1"/>
      <w:marLeft w:val="0"/>
      <w:marRight w:val="0"/>
      <w:marTop w:val="0"/>
      <w:marBottom w:val="0"/>
      <w:divBdr>
        <w:top w:val="none" w:sz="0" w:space="0" w:color="auto"/>
        <w:left w:val="none" w:sz="0" w:space="0" w:color="auto"/>
        <w:bottom w:val="none" w:sz="0" w:space="0" w:color="auto"/>
        <w:right w:val="none" w:sz="0" w:space="0" w:color="auto"/>
      </w:divBdr>
    </w:div>
    <w:div w:id="892159338">
      <w:bodyDiv w:val="1"/>
      <w:marLeft w:val="0"/>
      <w:marRight w:val="0"/>
      <w:marTop w:val="0"/>
      <w:marBottom w:val="0"/>
      <w:divBdr>
        <w:top w:val="none" w:sz="0" w:space="0" w:color="auto"/>
        <w:left w:val="none" w:sz="0" w:space="0" w:color="auto"/>
        <w:bottom w:val="none" w:sz="0" w:space="0" w:color="auto"/>
        <w:right w:val="none" w:sz="0" w:space="0" w:color="auto"/>
      </w:divBdr>
      <w:divsChild>
        <w:div w:id="22023440">
          <w:marLeft w:val="0"/>
          <w:marRight w:val="0"/>
          <w:marTop w:val="0"/>
          <w:marBottom w:val="0"/>
          <w:divBdr>
            <w:top w:val="none" w:sz="0" w:space="0" w:color="auto"/>
            <w:left w:val="none" w:sz="0" w:space="0" w:color="auto"/>
            <w:bottom w:val="none" w:sz="0" w:space="0" w:color="auto"/>
            <w:right w:val="none" w:sz="0" w:space="0" w:color="auto"/>
          </w:divBdr>
        </w:div>
        <w:div w:id="238755111">
          <w:marLeft w:val="0"/>
          <w:marRight w:val="0"/>
          <w:marTop w:val="0"/>
          <w:marBottom w:val="0"/>
          <w:divBdr>
            <w:top w:val="none" w:sz="0" w:space="0" w:color="auto"/>
            <w:left w:val="none" w:sz="0" w:space="0" w:color="auto"/>
            <w:bottom w:val="none" w:sz="0" w:space="0" w:color="auto"/>
            <w:right w:val="none" w:sz="0" w:space="0" w:color="auto"/>
          </w:divBdr>
        </w:div>
        <w:div w:id="441606572">
          <w:marLeft w:val="0"/>
          <w:marRight w:val="0"/>
          <w:marTop w:val="0"/>
          <w:marBottom w:val="0"/>
          <w:divBdr>
            <w:top w:val="none" w:sz="0" w:space="0" w:color="auto"/>
            <w:left w:val="none" w:sz="0" w:space="0" w:color="auto"/>
            <w:bottom w:val="none" w:sz="0" w:space="0" w:color="auto"/>
            <w:right w:val="none" w:sz="0" w:space="0" w:color="auto"/>
          </w:divBdr>
        </w:div>
        <w:div w:id="639842488">
          <w:marLeft w:val="0"/>
          <w:marRight w:val="0"/>
          <w:marTop w:val="0"/>
          <w:marBottom w:val="0"/>
          <w:divBdr>
            <w:top w:val="none" w:sz="0" w:space="0" w:color="auto"/>
            <w:left w:val="none" w:sz="0" w:space="0" w:color="auto"/>
            <w:bottom w:val="none" w:sz="0" w:space="0" w:color="auto"/>
            <w:right w:val="none" w:sz="0" w:space="0" w:color="auto"/>
          </w:divBdr>
        </w:div>
        <w:div w:id="703285086">
          <w:marLeft w:val="0"/>
          <w:marRight w:val="0"/>
          <w:marTop w:val="0"/>
          <w:marBottom w:val="0"/>
          <w:divBdr>
            <w:top w:val="none" w:sz="0" w:space="0" w:color="auto"/>
            <w:left w:val="none" w:sz="0" w:space="0" w:color="auto"/>
            <w:bottom w:val="none" w:sz="0" w:space="0" w:color="auto"/>
            <w:right w:val="none" w:sz="0" w:space="0" w:color="auto"/>
          </w:divBdr>
        </w:div>
        <w:div w:id="2065979382">
          <w:marLeft w:val="0"/>
          <w:marRight w:val="0"/>
          <w:marTop w:val="0"/>
          <w:marBottom w:val="0"/>
          <w:divBdr>
            <w:top w:val="none" w:sz="0" w:space="0" w:color="auto"/>
            <w:left w:val="none" w:sz="0" w:space="0" w:color="auto"/>
            <w:bottom w:val="none" w:sz="0" w:space="0" w:color="auto"/>
            <w:right w:val="none" w:sz="0" w:space="0" w:color="auto"/>
          </w:divBdr>
          <w:divsChild>
            <w:div w:id="1770002657">
              <w:marLeft w:val="-75"/>
              <w:marRight w:val="0"/>
              <w:marTop w:val="30"/>
              <w:marBottom w:val="30"/>
              <w:divBdr>
                <w:top w:val="none" w:sz="0" w:space="0" w:color="auto"/>
                <w:left w:val="none" w:sz="0" w:space="0" w:color="auto"/>
                <w:bottom w:val="none" w:sz="0" w:space="0" w:color="auto"/>
                <w:right w:val="none" w:sz="0" w:space="0" w:color="auto"/>
              </w:divBdr>
              <w:divsChild>
                <w:div w:id="68233130">
                  <w:marLeft w:val="0"/>
                  <w:marRight w:val="0"/>
                  <w:marTop w:val="0"/>
                  <w:marBottom w:val="0"/>
                  <w:divBdr>
                    <w:top w:val="none" w:sz="0" w:space="0" w:color="auto"/>
                    <w:left w:val="none" w:sz="0" w:space="0" w:color="auto"/>
                    <w:bottom w:val="none" w:sz="0" w:space="0" w:color="auto"/>
                    <w:right w:val="none" w:sz="0" w:space="0" w:color="auto"/>
                  </w:divBdr>
                  <w:divsChild>
                    <w:div w:id="1674455366">
                      <w:marLeft w:val="0"/>
                      <w:marRight w:val="0"/>
                      <w:marTop w:val="0"/>
                      <w:marBottom w:val="0"/>
                      <w:divBdr>
                        <w:top w:val="none" w:sz="0" w:space="0" w:color="auto"/>
                        <w:left w:val="none" w:sz="0" w:space="0" w:color="auto"/>
                        <w:bottom w:val="none" w:sz="0" w:space="0" w:color="auto"/>
                        <w:right w:val="none" w:sz="0" w:space="0" w:color="auto"/>
                      </w:divBdr>
                    </w:div>
                  </w:divsChild>
                </w:div>
                <w:div w:id="675692688">
                  <w:marLeft w:val="0"/>
                  <w:marRight w:val="0"/>
                  <w:marTop w:val="0"/>
                  <w:marBottom w:val="0"/>
                  <w:divBdr>
                    <w:top w:val="none" w:sz="0" w:space="0" w:color="auto"/>
                    <w:left w:val="none" w:sz="0" w:space="0" w:color="auto"/>
                    <w:bottom w:val="none" w:sz="0" w:space="0" w:color="auto"/>
                    <w:right w:val="none" w:sz="0" w:space="0" w:color="auto"/>
                  </w:divBdr>
                  <w:divsChild>
                    <w:div w:id="68455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7034649">
      <w:bodyDiv w:val="1"/>
      <w:marLeft w:val="0"/>
      <w:marRight w:val="0"/>
      <w:marTop w:val="0"/>
      <w:marBottom w:val="0"/>
      <w:divBdr>
        <w:top w:val="none" w:sz="0" w:space="0" w:color="auto"/>
        <w:left w:val="none" w:sz="0" w:space="0" w:color="auto"/>
        <w:bottom w:val="none" w:sz="0" w:space="0" w:color="auto"/>
        <w:right w:val="none" w:sz="0" w:space="0" w:color="auto"/>
      </w:divBdr>
    </w:div>
    <w:div w:id="930309651">
      <w:bodyDiv w:val="1"/>
      <w:marLeft w:val="0"/>
      <w:marRight w:val="0"/>
      <w:marTop w:val="0"/>
      <w:marBottom w:val="0"/>
      <w:divBdr>
        <w:top w:val="none" w:sz="0" w:space="0" w:color="auto"/>
        <w:left w:val="none" w:sz="0" w:space="0" w:color="auto"/>
        <w:bottom w:val="none" w:sz="0" w:space="0" w:color="auto"/>
        <w:right w:val="none" w:sz="0" w:space="0" w:color="auto"/>
      </w:divBdr>
      <w:divsChild>
        <w:div w:id="709576784">
          <w:marLeft w:val="0"/>
          <w:marRight w:val="0"/>
          <w:marTop w:val="0"/>
          <w:marBottom w:val="0"/>
          <w:divBdr>
            <w:top w:val="none" w:sz="0" w:space="0" w:color="auto"/>
            <w:left w:val="none" w:sz="0" w:space="0" w:color="auto"/>
            <w:bottom w:val="none" w:sz="0" w:space="0" w:color="auto"/>
            <w:right w:val="none" w:sz="0" w:space="0" w:color="auto"/>
          </w:divBdr>
          <w:divsChild>
            <w:div w:id="479351711">
              <w:marLeft w:val="0"/>
              <w:marRight w:val="0"/>
              <w:marTop w:val="0"/>
              <w:marBottom w:val="0"/>
              <w:divBdr>
                <w:top w:val="none" w:sz="0" w:space="0" w:color="auto"/>
                <w:left w:val="none" w:sz="0" w:space="0" w:color="auto"/>
                <w:bottom w:val="none" w:sz="0" w:space="0" w:color="auto"/>
                <w:right w:val="none" w:sz="0" w:space="0" w:color="auto"/>
              </w:divBdr>
              <w:divsChild>
                <w:div w:id="1067800196">
                  <w:marLeft w:val="0"/>
                  <w:marRight w:val="0"/>
                  <w:marTop w:val="0"/>
                  <w:marBottom w:val="0"/>
                  <w:divBdr>
                    <w:top w:val="none" w:sz="0" w:space="0" w:color="auto"/>
                    <w:left w:val="none" w:sz="0" w:space="0" w:color="auto"/>
                    <w:bottom w:val="none" w:sz="0" w:space="0" w:color="auto"/>
                    <w:right w:val="none" w:sz="0" w:space="0" w:color="auto"/>
                  </w:divBdr>
                  <w:divsChild>
                    <w:div w:id="253784661">
                      <w:marLeft w:val="0"/>
                      <w:marRight w:val="0"/>
                      <w:marTop w:val="0"/>
                      <w:marBottom w:val="0"/>
                      <w:divBdr>
                        <w:top w:val="none" w:sz="0" w:space="0" w:color="auto"/>
                        <w:left w:val="none" w:sz="0" w:space="0" w:color="auto"/>
                        <w:bottom w:val="none" w:sz="0" w:space="0" w:color="auto"/>
                        <w:right w:val="none" w:sz="0" w:space="0" w:color="auto"/>
                      </w:divBdr>
                      <w:divsChild>
                        <w:div w:id="7409795">
                          <w:marLeft w:val="0"/>
                          <w:marRight w:val="0"/>
                          <w:marTop w:val="0"/>
                          <w:marBottom w:val="0"/>
                          <w:divBdr>
                            <w:top w:val="none" w:sz="0" w:space="0" w:color="auto"/>
                            <w:left w:val="none" w:sz="0" w:space="0" w:color="auto"/>
                            <w:bottom w:val="none" w:sz="0" w:space="0" w:color="auto"/>
                            <w:right w:val="none" w:sz="0" w:space="0" w:color="auto"/>
                          </w:divBdr>
                          <w:divsChild>
                            <w:div w:id="10796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668604">
      <w:bodyDiv w:val="1"/>
      <w:marLeft w:val="0"/>
      <w:marRight w:val="0"/>
      <w:marTop w:val="0"/>
      <w:marBottom w:val="0"/>
      <w:divBdr>
        <w:top w:val="none" w:sz="0" w:space="0" w:color="auto"/>
        <w:left w:val="none" w:sz="0" w:space="0" w:color="auto"/>
        <w:bottom w:val="none" w:sz="0" w:space="0" w:color="auto"/>
        <w:right w:val="none" w:sz="0" w:space="0" w:color="auto"/>
      </w:divBdr>
    </w:div>
    <w:div w:id="982152471">
      <w:bodyDiv w:val="1"/>
      <w:marLeft w:val="0"/>
      <w:marRight w:val="0"/>
      <w:marTop w:val="0"/>
      <w:marBottom w:val="0"/>
      <w:divBdr>
        <w:top w:val="none" w:sz="0" w:space="0" w:color="auto"/>
        <w:left w:val="none" w:sz="0" w:space="0" w:color="auto"/>
        <w:bottom w:val="none" w:sz="0" w:space="0" w:color="auto"/>
        <w:right w:val="none" w:sz="0" w:space="0" w:color="auto"/>
      </w:divBdr>
    </w:div>
    <w:div w:id="986513522">
      <w:bodyDiv w:val="1"/>
      <w:marLeft w:val="0"/>
      <w:marRight w:val="0"/>
      <w:marTop w:val="0"/>
      <w:marBottom w:val="0"/>
      <w:divBdr>
        <w:top w:val="none" w:sz="0" w:space="0" w:color="auto"/>
        <w:left w:val="none" w:sz="0" w:space="0" w:color="auto"/>
        <w:bottom w:val="none" w:sz="0" w:space="0" w:color="auto"/>
        <w:right w:val="none" w:sz="0" w:space="0" w:color="auto"/>
      </w:divBdr>
    </w:div>
    <w:div w:id="996497333">
      <w:bodyDiv w:val="1"/>
      <w:marLeft w:val="0"/>
      <w:marRight w:val="0"/>
      <w:marTop w:val="0"/>
      <w:marBottom w:val="0"/>
      <w:divBdr>
        <w:top w:val="none" w:sz="0" w:space="0" w:color="auto"/>
        <w:left w:val="none" w:sz="0" w:space="0" w:color="auto"/>
        <w:bottom w:val="none" w:sz="0" w:space="0" w:color="auto"/>
        <w:right w:val="none" w:sz="0" w:space="0" w:color="auto"/>
      </w:divBdr>
      <w:divsChild>
        <w:div w:id="1017386033">
          <w:marLeft w:val="0"/>
          <w:marRight w:val="0"/>
          <w:marTop w:val="0"/>
          <w:marBottom w:val="0"/>
          <w:divBdr>
            <w:top w:val="none" w:sz="0" w:space="0" w:color="auto"/>
            <w:left w:val="none" w:sz="0" w:space="0" w:color="auto"/>
            <w:bottom w:val="none" w:sz="0" w:space="0" w:color="auto"/>
            <w:right w:val="none" w:sz="0" w:space="0" w:color="auto"/>
          </w:divBdr>
        </w:div>
      </w:divsChild>
    </w:div>
    <w:div w:id="1008828393">
      <w:bodyDiv w:val="1"/>
      <w:marLeft w:val="0"/>
      <w:marRight w:val="0"/>
      <w:marTop w:val="0"/>
      <w:marBottom w:val="0"/>
      <w:divBdr>
        <w:top w:val="none" w:sz="0" w:space="0" w:color="auto"/>
        <w:left w:val="none" w:sz="0" w:space="0" w:color="auto"/>
        <w:bottom w:val="none" w:sz="0" w:space="0" w:color="auto"/>
        <w:right w:val="none" w:sz="0" w:space="0" w:color="auto"/>
      </w:divBdr>
    </w:div>
    <w:div w:id="1013217474">
      <w:bodyDiv w:val="1"/>
      <w:marLeft w:val="0"/>
      <w:marRight w:val="0"/>
      <w:marTop w:val="0"/>
      <w:marBottom w:val="0"/>
      <w:divBdr>
        <w:top w:val="none" w:sz="0" w:space="0" w:color="auto"/>
        <w:left w:val="none" w:sz="0" w:space="0" w:color="auto"/>
        <w:bottom w:val="none" w:sz="0" w:space="0" w:color="auto"/>
        <w:right w:val="none" w:sz="0" w:space="0" w:color="auto"/>
      </w:divBdr>
    </w:div>
    <w:div w:id="1039666515">
      <w:bodyDiv w:val="1"/>
      <w:marLeft w:val="0"/>
      <w:marRight w:val="0"/>
      <w:marTop w:val="0"/>
      <w:marBottom w:val="0"/>
      <w:divBdr>
        <w:top w:val="none" w:sz="0" w:space="0" w:color="auto"/>
        <w:left w:val="none" w:sz="0" w:space="0" w:color="auto"/>
        <w:bottom w:val="none" w:sz="0" w:space="0" w:color="auto"/>
        <w:right w:val="none" w:sz="0" w:space="0" w:color="auto"/>
      </w:divBdr>
    </w:div>
    <w:div w:id="1060976758">
      <w:bodyDiv w:val="1"/>
      <w:marLeft w:val="0"/>
      <w:marRight w:val="0"/>
      <w:marTop w:val="0"/>
      <w:marBottom w:val="0"/>
      <w:divBdr>
        <w:top w:val="none" w:sz="0" w:space="0" w:color="auto"/>
        <w:left w:val="none" w:sz="0" w:space="0" w:color="auto"/>
        <w:bottom w:val="none" w:sz="0" w:space="0" w:color="auto"/>
        <w:right w:val="none" w:sz="0" w:space="0" w:color="auto"/>
      </w:divBdr>
    </w:div>
    <w:div w:id="1093824072">
      <w:bodyDiv w:val="1"/>
      <w:marLeft w:val="0"/>
      <w:marRight w:val="0"/>
      <w:marTop w:val="0"/>
      <w:marBottom w:val="0"/>
      <w:divBdr>
        <w:top w:val="none" w:sz="0" w:space="0" w:color="auto"/>
        <w:left w:val="none" w:sz="0" w:space="0" w:color="auto"/>
        <w:bottom w:val="none" w:sz="0" w:space="0" w:color="auto"/>
        <w:right w:val="none" w:sz="0" w:space="0" w:color="auto"/>
      </w:divBdr>
    </w:div>
    <w:div w:id="1095588946">
      <w:bodyDiv w:val="1"/>
      <w:marLeft w:val="0"/>
      <w:marRight w:val="0"/>
      <w:marTop w:val="0"/>
      <w:marBottom w:val="0"/>
      <w:divBdr>
        <w:top w:val="none" w:sz="0" w:space="0" w:color="auto"/>
        <w:left w:val="none" w:sz="0" w:space="0" w:color="auto"/>
        <w:bottom w:val="none" w:sz="0" w:space="0" w:color="auto"/>
        <w:right w:val="none" w:sz="0" w:space="0" w:color="auto"/>
      </w:divBdr>
      <w:divsChild>
        <w:div w:id="30568889">
          <w:marLeft w:val="0"/>
          <w:marRight w:val="0"/>
          <w:marTop w:val="0"/>
          <w:marBottom w:val="0"/>
          <w:divBdr>
            <w:top w:val="none" w:sz="0" w:space="0" w:color="auto"/>
            <w:left w:val="none" w:sz="0" w:space="0" w:color="auto"/>
            <w:bottom w:val="none" w:sz="0" w:space="0" w:color="auto"/>
            <w:right w:val="none" w:sz="0" w:space="0" w:color="auto"/>
          </w:divBdr>
        </w:div>
        <w:div w:id="106391544">
          <w:marLeft w:val="0"/>
          <w:marRight w:val="0"/>
          <w:marTop w:val="0"/>
          <w:marBottom w:val="0"/>
          <w:divBdr>
            <w:top w:val="none" w:sz="0" w:space="0" w:color="auto"/>
            <w:left w:val="none" w:sz="0" w:space="0" w:color="auto"/>
            <w:bottom w:val="none" w:sz="0" w:space="0" w:color="auto"/>
            <w:right w:val="none" w:sz="0" w:space="0" w:color="auto"/>
          </w:divBdr>
        </w:div>
        <w:div w:id="127283855">
          <w:marLeft w:val="0"/>
          <w:marRight w:val="0"/>
          <w:marTop w:val="0"/>
          <w:marBottom w:val="0"/>
          <w:divBdr>
            <w:top w:val="none" w:sz="0" w:space="0" w:color="auto"/>
            <w:left w:val="none" w:sz="0" w:space="0" w:color="auto"/>
            <w:bottom w:val="none" w:sz="0" w:space="0" w:color="auto"/>
            <w:right w:val="none" w:sz="0" w:space="0" w:color="auto"/>
          </w:divBdr>
        </w:div>
        <w:div w:id="163320489">
          <w:marLeft w:val="0"/>
          <w:marRight w:val="0"/>
          <w:marTop w:val="0"/>
          <w:marBottom w:val="0"/>
          <w:divBdr>
            <w:top w:val="none" w:sz="0" w:space="0" w:color="auto"/>
            <w:left w:val="none" w:sz="0" w:space="0" w:color="auto"/>
            <w:bottom w:val="none" w:sz="0" w:space="0" w:color="auto"/>
            <w:right w:val="none" w:sz="0" w:space="0" w:color="auto"/>
          </w:divBdr>
        </w:div>
        <w:div w:id="277377033">
          <w:marLeft w:val="0"/>
          <w:marRight w:val="0"/>
          <w:marTop w:val="0"/>
          <w:marBottom w:val="0"/>
          <w:divBdr>
            <w:top w:val="none" w:sz="0" w:space="0" w:color="auto"/>
            <w:left w:val="none" w:sz="0" w:space="0" w:color="auto"/>
            <w:bottom w:val="none" w:sz="0" w:space="0" w:color="auto"/>
            <w:right w:val="none" w:sz="0" w:space="0" w:color="auto"/>
          </w:divBdr>
        </w:div>
        <w:div w:id="286397035">
          <w:marLeft w:val="0"/>
          <w:marRight w:val="0"/>
          <w:marTop w:val="0"/>
          <w:marBottom w:val="0"/>
          <w:divBdr>
            <w:top w:val="none" w:sz="0" w:space="0" w:color="auto"/>
            <w:left w:val="none" w:sz="0" w:space="0" w:color="auto"/>
            <w:bottom w:val="none" w:sz="0" w:space="0" w:color="auto"/>
            <w:right w:val="none" w:sz="0" w:space="0" w:color="auto"/>
          </w:divBdr>
        </w:div>
        <w:div w:id="441843723">
          <w:marLeft w:val="0"/>
          <w:marRight w:val="0"/>
          <w:marTop w:val="0"/>
          <w:marBottom w:val="0"/>
          <w:divBdr>
            <w:top w:val="none" w:sz="0" w:space="0" w:color="auto"/>
            <w:left w:val="none" w:sz="0" w:space="0" w:color="auto"/>
            <w:bottom w:val="none" w:sz="0" w:space="0" w:color="auto"/>
            <w:right w:val="none" w:sz="0" w:space="0" w:color="auto"/>
          </w:divBdr>
          <w:divsChild>
            <w:div w:id="323899508">
              <w:marLeft w:val="-75"/>
              <w:marRight w:val="0"/>
              <w:marTop w:val="30"/>
              <w:marBottom w:val="30"/>
              <w:divBdr>
                <w:top w:val="none" w:sz="0" w:space="0" w:color="auto"/>
                <w:left w:val="none" w:sz="0" w:space="0" w:color="auto"/>
                <w:bottom w:val="none" w:sz="0" w:space="0" w:color="auto"/>
                <w:right w:val="none" w:sz="0" w:space="0" w:color="auto"/>
              </w:divBdr>
              <w:divsChild>
                <w:div w:id="17046533">
                  <w:marLeft w:val="0"/>
                  <w:marRight w:val="0"/>
                  <w:marTop w:val="0"/>
                  <w:marBottom w:val="0"/>
                  <w:divBdr>
                    <w:top w:val="none" w:sz="0" w:space="0" w:color="auto"/>
                    <w:left w:val="none" w:sz="0" w:space="0" w:color="auto"/>
                    <w:bottom w:val="none" w:sz="0" w:space="0" w:color="auto"/>
                    <w:right w:val="none" w:sz="0" w:space="0" w:color="auto"/>
                  </w:divBdr>
                  <w:divsChild>
                    <w:div w:id="578834007">
                      <w:marLeft w:val="0"/>
                      <w:marRight w:val="0"/>
                      <w:marTop w:val="0"/>
                      <w:marBottom w:val="0"/>
                      <w:divBdr>
                        <w:top w:val="none" w:sz="0" w:space="0" w:color="auto"/>
                        <w:left w:val="none" w:sz="0" w:space="0" w:color="auto"/>
                        <w:bottom w:val="none" w:sz="0" w:space="0" w:color="auto"/>
                        <w:right w:val="none" w:sz="0" w:space="0" w:color="auto"/>
                      </w:divBdr>
                    </w:div>
                  </w:divsChild>
                </w:div>
                <w:div w:id="393238920">
                  <w:marLeft w:val="0"/>
                  <w:marRight w:val="0"/>
                  <w:marTop w:val="0"/>
                  <w:marBottom w:val="0"/>
                  <w:divBdr>
                    <w:top w:val="none" w:sz="0" w:space="0" w:color="auto"/>
                    <w:left w:val="none" w:sz="0" w:space="0" w:color="auto"/>
                    <w:bottom w:val="none" w:sz="0" w:space="0" w:color="auto"/>
                    <w:right w:val="none" w:sz="0" w:space="0" w:color="auto"/>
                  </w:divBdr>
                  <w:divsChild>
                    <w:div w:id="833225785">
                      <w:marLeft w:val="0"/>
                      <w:marRight w:val="0"/>
                      <w:marTop w:val="0"/>
                      <w:marBottom w:val="0"/>
                      <w:divBdr>
                        <w:top w:val="none" w:sz="0" w:space="0" w:color="auto"/>
                        <w:left w:val="none" w:sz="0" w:space="0" w:color="auto"/>
                        <w:bottom w:val="none" w:sz="0" w:space="0" w:color="auto"/>
                        <w:right w:val="none" w:sz="0" w:space="0" w:color="auto"/>
                      </w:divBdr>
                    </w:div>
                  </w:divsChild>
                </w:div>
                <w:div w:id="665131135">
                  <w:marLeft w:val="0"/>
                  <w:marRight w:val="0"/>
                  <w:marTop w:val="0"/>
                  <w:marBottom w:val="0"/>
                  <w:divBdr>
                    <w:top w:val="none" w:sz="0" w:space="0" w:color="auto"/>
                    <w:left w:val="none" w:sz="0" w:space="0" w:color="auto"/>
                    <w:bottom w:val="none" w:sz="0" w:space="0" w:color="auto"/>
                    <w:right w:val="none" w:sz="0" w:space="0" w:color="auto"/>
                  </w:divBdr>
                  <w:divsChild>
                    <w:div w:id="1542669765">
                      <w:marLeft w:val="0"/>
                      <w:marRight w:val="0"/>
                      <w:marTop w:val="0"/>
                      <w:marBottom w:val="0"/>
                      <w:divBdr>
                        <w:top w:val="none" w:sz="0" w:space="0" w:color="auto"/>
                        <w:left w:val="none" w:sz="0" w:space="0" w:color="auto"/>
                        <w:bottom w:val="none" w:sz="0" w:space="0" w:color="auto"/>
                        <w:right w:val="none" w:sz="0" w:space="0" w:color="auto"/>
                      </w:divBdr>
                    </w:div>
                  </w:divsChild>
                </w:div>
                <w:div w:id="1387148953">
                  <w:marLeft w:val="0"/>
                  <w:marRight w:val="0"/>
                  <w:marTop w:val="0"/>
                  <w:marBottom w:val="0"/>
                  <w:divBdr>
                    <w:top w:val="none" w:sz="0" w:space="0" w:color="auto"/>
                    <w:left w:val="none" w:sz="0" w:space="0" w:color="auto"/>
                    <w:bottom w:val="none" w:sz="0" w:space="0" w:color="auto"/>
                    <w:right w:val="none" w:sz="0" w:space="0" w:color="auto"/>
                  </w:divBdr>
                  <w:divsChild>
                    <w:div w:id="159509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435567">
          <w:marLeft w:val="0"/>
          <w:marRight w:val="0"/>
          <w:marTop w:val="0"/>
          <w:marBottom w:val="0"/>
          <w:divBdr>
            <w:top w:val="none" w:sz="0" w:space="0" w:color="auto"/>
            <w:left w:val="none" w:sz="0" w:space="0" w:color="auto"/>
            <w:bottom w:val="none" w:sz="0" w:space="0" w:color="auto"/>
            <w:right w:val="none" w:sz="0" w:space="0" w:color="auto"/>
          </w:divBdr>
        </w:div>
        <w:div w:id="642731736">
          <w:marLeft w:val="0"/>
          <w:marRight w:val="0"/>
          <w:marTop w:val="0"/>
          <w:marBottom w:val="0"/>
          <w:divBdr>
            <w:top w:val="none" w:sz="0" w:space="0" w:color="auto"/>
            <w:left w:val="none" w:sz="0" w:space="0" w:color="auto"/>
            <w:bottom w:val="none" w:sz="0" w:space="0" w:color="auto"/>
            <w:right w:val="none" w:sz="0" w:space="0" w:color="auto"/>
          </w:divBdr>
        </w:div>
        <w:div w:id="673653641">
          <w:marLeft w:val="0"/>
          <w:marRight w:val="0"/>
          <w:marTop w:val="0"/>
          <w:marBottom w:val="0"/>
          <w:divBdr>
            <w:top w:val="none" w:sz="0" w:space="0" w:color="auto"/>
            <w:left w:val="none" w:sz="0" w:space="0" w:color="auto"/>
            <w:bottom w:val="none" w:sz="0" w:space="0" w:color="auto"/>
            <w:right w:val="none" w:sz="0" w:space="0" w:color="auto"/>
          </w:divBdr>
        </w:div>
        <w:div w:id="724523168">
          <w:marLeft w:val="0"/>
          <w:marRight w:val="0"/>
          <w:marTop w:val="0"/>
          <w:marBottom w:val="0"/>
          <w:divBdr>
            <w:top w:val="none" w:sz="0" w:space="0" w:color="auto"/>
            <w:left w:val="none" w:sz="0" w:space="0" w:color="auto"/>
            <w:bottom w:val="none" w:sz="0" w:space="0" w:color="auto"/>
            <w:right w:val="none" w:sz="0" w:space="0" w:color="auto"/>
          </w:divBdr>
        </w:div>
        <w:div w:id="765228160">
          <w:marLeft w:val="0"/>
          <w:marRight w:val="0"/>
          <w:marTop w:val="0"/>
          <w:marBottom w:val="0"/>
          <w:divBdr>
            <w:top w:val="none" w:sz="0" w:space="0" w:color="auto"/>
            <w:left w:val="none" w:sz="0" w:space="0" w:color="auto"/>
            <w:bottom w:val="none" w:sz="0" w:space="0" w:color="auto"/>
            <w:right w:val="none" w:sz="0" w:space="0" w:color="auto"/>
          </w:divBdr>
        </w:div>
        <w:div w:id="967466496">
          <w:marLeft w:val="0"/>
          <w:marRight w:val="0"/>
          <w:marTop w:val="0"/>
          <w:marBottom w:val="0"/>
          <w:divBdr>
            <w:top w:val="none" w:sz="0" w:space="0" w:color="auto"/>
            <w:left w:val="none" w:sz="0" w:space="0" w:color="auto"/>
            <w:bottom w:val="none" w:sz="0" w:space="0" w:color="auto"/>
            <w:right w:val="none" w:sz="0" w:space="0" w:color="auto"/>
          </w:divBdr>
        </w:div>
        <w:div w:id="1079794244">
          <w:marLeft w:val="0"/>
          <w:marRight w:val="0"/>
          <w:marTop w:val="0"/>
          <w:marBottom w:val="0"/>
          <w:divBdr>
            <w:top w:val="none" w:sz="0" w:space="0" w:color="auto"/>
            <w:left w:val="none" w:sz="0" w:space="0" w:color="auto"/>
            <w:bottom w:val="none" w:sz="0" w:space="0" w:color="auto"/>
            <w:right w:val="none" w:sz="0" w:space="0" w:color="auto"/>
          </w:divBdr>
        </w:div>
        <w:div w:id="1216697629">
          <w:marLeft w:val="0"/>
          <w:marRight w:val="0"/>
          <w:marTop w:val="0"/>
          <w:marBottom w:val="0"/>
          <w:divBdr>
            <w:top w:val="none" w:sz="0" w:space="0" w:color="auto"/>
            <w:left w:val="none" w:sz="0" w:space="0" w:color="auto"/>
            <w:bottom w:val="none" w:sz="0" w:space="0" w:color="auto"/>
            <w:right w:val="none" w:sz="0" w:space="0" w:color="auto"/>
          </w:divBdr>
        </w:div>
        <w:div w:id="1244608064">
          <w:marLeft w:val="0"/>
          <w:marRight w:val="0"/>
          <w:marTop w:val="0"/>
          <w:marBottom w:val="0"/>
          <w:divBdr>
            <w:top w:val="none" w:sz="0" w:space="0" w:color="auto"/>
            <w:left w:val="none" w:sz="0" w:space="0" w:color="auto"/>
            <w:bottom w:val="none" w:sz="0" w:space="0" w:color="auto"/>
            <w:right w:val="none" w:sz="0" w:space="0" w:color="auto"/>
          </w:divBdr>
          <w:divsChild>
            <w:div w:id="223024822">
              <w:marLeft w:val="-75"/>
              <w:marRight w:val="0"/>
              <w:marTop w:val="30"/>
              <w:marBottom w:val="30"/>
              <w:divBdr>
                <w:top w:val="none" w:sz="0" w:space="0" w:color="auto"/>
                <w:left w:val="none" w:sz="0" w:space="0" w:color="auto"/>
                <w:bottom w:val="none" w:sz="0" w:space="0" w:color="auto"/>
                <w:right w:val="none" w:sz="0" w:space="0" w:color="auto"/>
              </w:divBdr>
              <w:divsChild>
                <w:div w:id="6758195">
                  <w:marLeft w:val="0"/>
                  <w:marRight w:val="0"/>
                  <w:marTop w:val="0"/>
                  <w:marBottom w:val="0"/>
                  <w:divBdr>
                    <w:top w:val="none" w:sz="0" w:space="0" w:color="auto"/>
                    <w:left w:val="none" w:sz="0" w:space="0" w:color="auto"/>
                    <w:bottom w:val="none" w:sz="0" w:space="0" w:color="auto"/>
                    <w:right w:val="none" w:sz="0" w:space="0" w:color="auto"/>
                  </w:divBdr>
                  <w:divsChild>
                    <w:div w:id="41251534">
                      <w:marLeft w:val="0"/>
                      <w:marRight w:val="0"/>
                      <w:marTop w:val="0"/>
                      <w:marBottom w:val="0"/>
                      <w:divBdr>
                        <w:top w:val="none" w:sz="0" w:space="0" w:color="auto"/>
                        <w:left w:val="none" w:sz="0" w:space="0" w:color="auto"/>
                        <w:bottom w:val="none" w:sz="0" w:space="0" w:color="auto"/>
                        <w:right w:val="none" w:sz="0" w:space="0" w:color="auto"/>
                      </w:divBdr>
                    </w:div>
                  </w:divsChild>
                </w:div>
                <w:div w:id="88358956">
                  <w:marLeft w:val="0"/>
                  <w:marRight w:val="0"/>
                  <w:marTop w:val="0"/>
                  <w:marBottom w:val="0"/>
                  <w:divBdr>
                    <w:top w:val="none" w:sz="0" w:space="0" w:color="auto"/>
                    <w:left w:val="none" w:sz="0" w:space="0" w:color="auto"/>
                    <w:bottom w:val="none" w:sz="0" w:space="0" w:color="auto"/>
                    <w:right w:val="none" w:sz="0" w:space="0" w:color="auto"/>
                  </w:divBdr>
                  <w:divsChild>
                    <w:div w:id="1414158819">
                      <w:marLeft w:val="0"/>
                      <w:marRight w:val="0"/>
                      <w:marTop w:val="0"/>
                      <w:marBottom w:val="0"/>
                      <w:divBdr>
                        <w:top w:val="none" w:sz="0" w:space="0" w:color="auto"/>
                        <w:left w:val="none" w:sz="0" w:space="0" w:color="auto"/>
                        <w:bottom w:val="none" w:sz="0" w:space="0" w:color="auto"/>
                        <w:right w:val="none" w:sz="0" w:space="0" w:color="auto"/>
                      </w:divBdr>
                    </w:div>
                  </w:divsChild>
                </w:div>
                <w:div w:id="98725409">
                  <w:marLeft w:val="0"/>
                  <w:marRight w:val="0"/>
                  <w:marTop w:val="0"/>
                  <w:marBottom w:val="0"/>
                  <w:divBdr>
                    <w:top w:val="none" w:sz="0" w:space="0" w:color="auto"/>
                    <w:left w:val="none" w:sz="0" w:space="0" w:color="auto"/>
                    <w:bottom w:val="none" w:sz="0" w:space="0" w:color="auto"/>
                    <w:right w:val="none" w:sz="0" w:space="0" w:color="auto"/>
                  </w:divBdr>
                  <w:divsChild>
                    <w:div w:id="1911891070">
                      <w:marLeft w:val="0"/>
                      <w:marRight w:val="0"/>
                      <w:marTop w:val="0"/>
                      <w:marBottom w:val="0"/>
                      <w:divBdr>
                        <w:top w:val="none" w:sz="0" w:space="0" w:color="auto"/>
                        <w:left w:val="none" w:sz="0" w:space="0" w:color="auto"/>
                        <w:bottom w:val="none" w:sz="0" w:space="0" w:color="auto"/>
                        <w:right w:val="none" w:sz="0" w:space="0" w:color="auto"/>
                      </w:divBdr>
                    </w:div>
                  </w:divsChild>
                </w:div>
                <w:div w:id="131488368">
                  <w:marLeft w:val="0"/>
                  <w:marRight w:val="0"/>
                  <w:marTop w:val="0"/>
                  <w:marBottom w:val="0"/>
                  <w:divBdr>
                    <w:top w:val="none" w:sz="0" w:space="0" w:color="auto"/>
                    <w:left w:val="none" w:sz="0" w:space="0" w:color="auto"/>
                    <w:bottom w:val="none" w:sz="0" w:space="0" w:color="auto"/>
                    <w:right w:val="none" w:sz="0" w:space="0" w:color="auto"/>
                  </w:divBdr>
                  <w:divsChild>
                    <w:div w:id="1396775484">
                      <w:marLeft w:val="0"/>
                      <w:marRight w:val="0"/>
                      <w:marTop w:val="0"/>
                      <w:marBottom w:val="0"/>
                      <w:divBdr>
                        <w:top w:val="none" w:sz="0" w:space="0" w:color="auto"/>
                        <w:left w:val="none" w:sz="0" w:space="0" w:color="auto"/>
                        <w:bottom w:val="none" w:sz="0" w:space="0" w:color="auto"/>
                        <w:right w:val="none" w:sz="0" w:space="0" w:color="auto"/>
                      </w:divBdr>
                    </w:div>
                  </w:divsChild>
                </w:div>
                <w:div w:id="175845435">
                  <w:marLeft w:val="0"/>
                  <w:marRight w:val="0"/>
                  <w:marTop w:val="0"/>
                  <w:marBottom w:val="0"/>
                  <w:divBdr>
                    <w:top w:val="none" w:sz="0" w:space="0" w:color="auto"/>
                    <w:left w:val="none" w:sz="0" w:space="0" w:color="auto"/>
                    <w:bottom w:val="none" w:sz="0" w:space="0" w:color="auto"/>
                    <w:right w:val="none" w:sz="0" w:space="0" w:color="auto"/>
                  </w:divBdr>
                  <w:divsChild>
                    <w:div w:id="475034028">
                      <w:marLeft w:val="0"/>
                      <w:marRight w:val="0"/>
                      <w:marTop w:val="0"/>
                      <w:marBottom w:val="0"/>
                      <w:divBdr>
                        <w:top w:val="none" w:sz="0" w:space="0" w:color="auto"/>
                        <w:left w:val="none" w:sz="0" w:space="0" w:color="auto"/>
                        <w:bottom w:val="none" w:sz="0" w:space="0" w:color="auto"/>
                        <w:right w:val="none" w:sz="0" w:space="0" w:color="auto"/>
                      </w:divBdr>
                    </w:div>
                  </w:divsChild>
                </w:div>
                <w:div w:id="187379383">
                  <w:marLeft w:val="0"/>
                  <w:marRight w:val="0"/>
                  <w:marTop w:val="0"/>
                  <w:marBottom w:val="0"/>
                  <w:divBdr>
                    <w:top w:val="none" w:sz="0" w:space="0" w:color="auto"/>
                    <w:left w:val="none" w:sz="0" w:space="0" w:color="auto"/>
                    <w:bottom w:val="none" w:sz="0" w:space="0" w:color="auto"/>
                    <w:right w:val="none" w:sz="0" w:space="0" w:color="auto"/>
                  </w:divBdr>
                  <w:divsChild>
                    <w:div w:id="897742830">
                      <w:marLeft w:val="0"/>
                      <w:marRight w:val="0"/>
                      <w:marTop w:val="0"/>
                      <w:marBottom w:val="0"/>
                      <w:divBdr>
                        <w:top w:val="none" w:sz="0" w:space="0" w:color="auto"/>
                        <w:left w:val="none" w:sz="0" w:space="0" w:color="auto"/>
                        <w:bottom w:val="none" w:sz="0" w:space="0" w:color="auto"/>
                        <w:right w:val="none" w:sz="0" w:space="0" w:color="auto"/>
                      </w:divBdr>
                    </w:div>
                  </w:divsChild>
                </w:div>
                <w:div w:id="271597899">
                  <w:marLeft w:val="0"/>
                  <w:marRight w:val="0"/>
                  <w:marTop w:val="0"/>
                  <w:marBottom w:val="0"/>
                  <w:divBdr>
                    <w:top w:val="none" w:sz="0" w:space="0" w:color="auto"/>
                    <w:left w:val="none" w:sz="0" w:space="0" w:color="auto"/>
                    <w:bottom w:val="none" w:sz="0" w:space="0" w:color="auto"/>
                    <w:right w:val="none" w:sz="0" w:space="0" w:color="auto"/>
                  </w:divBdr>
                  <w:divsChild>
                    <w:div w:id="1632906187">
                      <w:marLeft w:val="0"/>
                      <w:marRight w:val="0"/>
                      <w:marTop w:val="0"/>
                      <w:marBottom w:val="0"/>
                      <w:divBdr>
                        <w:top w:val="none" w:sz="0" w:space="0" w:color="auto"/>
                        <w:left w:val="none" w:sz="0" w:space="0" w:color="auto"/>
                        <w:bottom w:val="none" w:sz="0" w:space="0" w:color="auto"/>
                        <w:right w:val="none" w:sz="0" w:space="0" w:color="auto"/>
                      </w:divBdr>
                    </w:div>
                  </w:divsChild>
                </w:div>
                <w:div w:id="294920192">
                  <w:marLeft w:val="0"/>
                  <w:marRight w:val="0"/>
                  <w:marTop w:val="0"/>
                  <w:marBottom w:val="0"/>
                  <w:divBdr>
                    <w:top w:val="none" w:sz="0" w:space="0" w:color="auto"/>
                    <w:left w:val="none" w:sz="0" w:space="0" w:color="auto"/>
                    <w:bottom w:val="none" w:sz="0" w:space="0" w:color="auto"/>
                    <w:right w:val="none" w:sz="0" w:space="0" w:color="auto"/>
                  </w:divBdr>
                  <w:divsChild>
                    <w:div w:id="1481263293">
                      <w:marLeft w:val="0"/>
                      <w:marRight w:val="0"/>
                      <w:marTop w:val="0"/>
                      <w:marBottom w:val="0"/>
                      <w:divBdr>
                        <w:top w:val="none" w:sz="0" w:space="0" w:color="auto"/>
                        <w:left w:val="none" w:sz="0" w:space="0" w:color="auto"/>
                        <w:bottom w:val="none" w:sz="0" w:space="0" w:color="auto"/>
                        <w:right w:val="none" w:sz="0" w:space="0" w:color="auto"/>
                      </w:divBdr>
                    </w:div>
                  </w:divsChild>
                </w:div>
                <w:div w:id="296909609">
                  <w:marLeft w:val="0"/>
                  <w:marRight w:val="0"/>
                  <w:marTop w:val="0"/>
                  <w:marBottom w:val="0"/>
                  <w:divBdr>
                    <w:top w:val="none" w:sz="0" w:space="0" w:color="auto"/>
                    <w:left w:val="none" w:sz="0" w:space="0" w:color="auto"/>
                    <w:bottom w:val="none" w:sz="0" w:space="0" w:color="auto"/>
                    <w:right w:val="none" w:sz="0" w:space="0" w:color="auto"/>
                  </w:divBdr>
                  <w:divsChild>
                    <w:div w:id="1225071378">
                      <w:marLeft w:val="0"/>
                      <w:marRight w:val="0"/>
                      <w:marTop w:val="0"/>
                      <w:marBottom w:val="0"/>
                      <w:divBdr>
                        <w:top w:val="none" w:sz="0" w:space="0" w:color="auto"/>
                        <w:left w:val="none" w:sz="0" w:space="0" w:color="auto"/>
                        <w:bottom w:val="none" w:sz="0" w:space="0" w:color="auto"/>
                        <w:right w:val="none" w:sz="0" w:space="0" w:color="auto"/>
                      </w:divBdr>
                    </w:div>
                  </w:divsChild>
                </w:div>
                <w:div w:id="306058880">
                  <w:marLeft w:val="0"/>
                  <w:marRight w:val="0"/>
                  <w:marTop w:val="0"/>
                  <w:marBottom w:val="0"/>
                  <w:divBdr>
                    <w:top w:val="none" w:sz="0" w:space="0" w:color="auto"/>
                    <w:left w:val="none" w:sz="0" w:space="0" w:color="auto"/>
                    <w:bottom w:val="none" w:sz="0" w:space="0" w:color="auto"/>
                    <w:right w:val="none" w:sz="0" w:space="0" w:color="auto"/>
                  </w:divBdr>
                  <w:divsChild>
                    <w:div w:id="504243863">
                      <w:marLeft w:val="0"/>
                      <w:marRight w:val="0"/>
                      <w:marTop w:val="0"/>
                      <w:marBottom w:val="0"/>
                      <w:divBdr>
                        <w:top w:val="none" w:sz="0" w:space="0" w:color="auto"/>
                        <w:left w:val="none" w:sz="0" w:space="0" w:color="auto"/>
                        <w:bottom w:val="none" w:sz="0" w:space="0" w:color="auto"/>
                        <w:right w:val="none" w:sz="0" w:space="0" w:color="auto"/>
                      </w:divBdr>
                    </w:div>
                  </w:divsChild>
                </w:div>
                <w:div w:id="345209422">
                  <w:marLeft w:val="0"/>
                  <w:marRight w:val="0"/>
                  <w:marTop w:val="0"/>
                  <w:marBottom w:val="0"/>
                  <w:divBdr>
                    <w:top w:val="none" w:sz="0" w:space="0" w:color="auto"/>
                    <w:left w:val="none" w:sz="0" w:space="0" w:color="auto"/>
                    <w:bottom w:val="none" w:sz="0" w:space="0" w:color="auto"/>
                    <w:right w:val="none" w:sz="0" w:space="0" w:color="auto"/>
                  </w:divBdr>
                  <w:divsChild>
                    <w:div w:id="2012901628">
                      <w:marLeft w:val="0"/>
                      <w:marRight w:val="0"/>
                      <w:marTop w:val="0"/>
                      <w:marBottom w:val="0"/>
                      <w:divBdr>
                        <w:top w:val="none" w:sz="0" w:space="0" w:color="auto"/>
                        <w:left w:val="none" w:sz="0" w:space="0" w:color="auto"/>
                        <w:bottom w:val="none" w:sz="0" w:space="0" w:color="auto"/>
                        <w:right w:val="none" w:sz="0" w:space="0" w:color="auto"/>
                      </w:divBdr>
                    </w:div>
                  </w:divsChild>
                </w:div>
                <w:div w:id="363025248">
                  <w:marLeft w:val="0"/>
                  <w:marRight w:val="0"/>
                  <w:marTop w:val="0"/>
                  <w:marBottom w:val="0"/>
                  <w:divBdr>
                    <w:top w:val="none" w:sz="0" w:space="0" w:color="auto"/>
                    <w:left w:val="none" w:sz="0" w:space="0" w:color="auto"/>
                    <w:bottom w:val="none" w:sz="0" w:space="0" w:color="auto"/>
                    <w:right w:val="none" w:sz="0" w:space="0" w:color="auto"/>
                  </w:divBdr>
                  <w:divsChild>
                    <w:div w:id="2063869211">
                      <w:marLeft w:val="0"/>
                      <w:marRight w:val="0"/>
                      <w:marTop w:val="0"/>
                      <w:marBottom w:val="0"/>
                      <w:divBdr>
                        <w:top w:val="none" w:sz="0" w:space="0" w:color="auto"/>
                        <w:left w:val="none" w:sz="0" w:space="0" w:color="auto"/>
                        <w:bottom w:val="none" w:sz="0" w:space="0" w:color="auto"/>
                        <w:right w:val="none" w:sz="0" w:space="0" w:color="auto"/>
                      </w:divBdr>
                    </w:div>
                  </w:divsChild>
                </w:div>
                <w:div w:id="402607835">
                  <w:marLeft w:val="0"/>
                  <w:marRight w:val="0"/>
                  <w:marTop w:val="0"/>
                  <w:marBottom w:val="0"/>
                  <w:divBdr>
                    <w:top w:val="none" w:sz="0" w:space="0" w:color="auto"/>
                    <w:left w:val="none" w:sz="0" w:space="0" w:color="auto"/>
                    <w:bottom w:val="none" w:sz="0" w:space="0" w:color="auto"/>
                    <w:right w:val="none" w:sz="0" w:space="0" w:color="auto"/>
                  </w:divBdr>
                  <w:divsChild>
                    <w:div w:id="553202569">
                      <w:marLeft w:val="0"/>
                      <w:marRight w:val="0"/>
                      <w:marTop w:val="0"/>
                      <w:marBottom w:val="0"/>
                      <w:divBdr>
                        <w:top w:val="none" w:sz="0" w:space="0" w:color="auto"/>
                        <w:left w:val="none" w:sz="0" w:space="0" w:color="auto"/>
                        <w:bottom w:val="none" w:sz="0" w:space="0" w:color="auto"/>
                        <w:right w:val="none" w:sz="0" w:space="0" w:color="auto"/>
                      </w:divBdr>
                    </w:div>
                  </w:divsChild>
                </w:div>
                <w:div w:id="412777887">
                  <w:marLeft w:val="0"/>
                  <w:marRight w:val="0"/>
                  <w:marTop w:val="0"/>
                  <w:marBottom w:val="0"/>
                  <w:divBdr>
                    <w:top w:val="none" w:sz="0" w:space="0" w:color="auto"/>
                    <w:left w:val="none" w:sz="0" w:space="0" w:color="auto"/>
                    <w:bottom w:val="none" w:sz="0" w:space="0" w:color="auto"/>
                    <w:right w:val="none" w:sz="0" w:space="0" w:color="auto"/>
                  </w:divBdr>
                  <w:divsChild>
                    <w:div w:id="854539295">
                      <w:marLeft w:val="0"/>
                      <w:marRight w:val="0"/>
                      <w:marTop w:val="0"/>
                      <w:marBottom w:val="0"/>
                      <w:divBdr>
                        <w:top w:val="none" w:sz="0" w:space="0" w:color="auto"/>
                        <w:left w:val="none" w:sz="0" w:space="0" w:color="auto"/>
                        <w:bottom w:val="none" w:sz="0" w:space="0" w:color="auto"/>
                        <w:right w:val="none" w:sz="0" w:space="0" w:color="auto"/>
                      </w:divBdr>
                    </w:div>
                  </w:divsChild>
                </w:div>
                <w:div w:id="419449746">
                  <w:marLeft w:val="0"/>
                  <w:marRight w:val="0"/>
                  <w:marTop w:val="0"/>
                  <w:marBottom w:val="0"/>
                  <w:divBdr>
                    <w:top w:val="none" w:sz="0" w:space="0" w:color="auto"/>
                    <w:left w:val="none" w:sz="0" w:space="0" w:color="auto"/>
                    <w:bottom w:val="none" w:sz="0" w:space="0" w:color="auto"/>
                    <w:right w:val="none" w:sz="0" w:space="0" w:color="auto"/>
                  </w:divBdr>
                  <w:divsChild>
                    <w:div w:id="1053693360">
                      <w:marLeft w:val="0"/>
                      <w:marRight w:val="0"/>
                      <w:marTop w:val="0"/>
                      <w:marBottom w:val="0"/>
                      <w:divBdr>
                        <w:top w:val="none" w:sz="0" w:space="0" w:color="auto"/>
                        <w:left w:val="none" w:sz="0" w:space="0" w:color="auto"/>
                        <w:bottom w:val="none" w:sz="0" w:space="0" w:color="auto"/>
                        <w:right w:val="none" w:sz="0" w:space="0" w:color="auto"/>
                      </w:divBdr>
                    </w:div>
                  </w:divsChild>
                </w:div>
                <w:div w:id="420222034">
                  <w:marLeft w:val="0"/>
                  <w:marRight w:val="0"/>
                  <w:marTop w:val="0"/>
                  <w:marBottom w:val="0"/>
                  <w:divBdr>
                    <w:top w:val="none" w:sz="0" w:space="0" w:color="auto"/>
                    <w:left w:val="none" w:sz="0" w:space="0" w:color="auto"/>
                    <w:bottom w:val="none" w:sz="0" w:space="0" w:color="auto"/>
                    <w:right w:val="none" w:sz="0" w:space="0" w:color="auto"/>
                  </w:divBdr>
                  <w:divsChild>
                    <w:div w:id="371419921">
                      <w:marLeft w:val="0"/>
                      <w:marRight w:val="0"/>
                      <w:marTop w:val="0"/>
                      <w:marBottom w:val="0"/>
                      <w:divBdr>
                        <w:top w:val="none" w:sz="0" w:space="0" w:color="auto"/>
                        <w:left w:val="none" w:sz="0" w:space="0" w:color="auto"/>
                        <w:bottom w:val="none" w:sz="0" w:space="0" w:color="auto"/>
                        <w:right w:val="none" w:sz="0" w:space="0" w:color="auto"/>
                      </w:divBdr>
                    </w:div>
                  </w:divsChild>
                </w:div>
                <w:div w:id="425853562">
                  <w:marLeft w:val="0"/>
                  <w:marRight w:val="0"/>
                  <w:marTop w:val="0"/>
                  <w:marBottom w:val="0"/>
                  <w:divBdr>
                    <w:top w:val="none" w:sz="0" w:space="0" w:color="auto"/>
                    <w:left w:val="none" w:sz="0" w:space="0" w:color="auto"/>
                    <w:bottom w:val="none" w:sz="0" w:space="0" w:color="auto"/>
                    <w:right w:val="none" w:sz="0" w:space="0" w:color="auto"/>
                  </w:divBdr>
                  <w:divsChild>
                    <w:div w:id="1333294809">
                      <w:marLeft w:val="0"/>
                      <w:marRight w:val="0"/>
                      <w:marTop w:val="0"/>
                      <w:marBottom w:val="0"/>
                      <w:divBdr>
                        <w:top w:val="none" w:sz="0" w:space="0" w:color="auto"/>
                        <w:left w:val="none" w:sz="0" w:space="0" w:color="auto"/>
                        <w:bottom w:val="none" w:sz="0" w:space="0" w:color="auto"/>
                        <w:right w:val="none" w:sz="0" w:space="0" w:color="auto"/>
                      </w:divBdr>
                    </w:div>
                  </w:divsChild>
                </w:div>
                <w:div w:id="434012119">
                  <w:marLeft w:val="0"/>
                  <w:marRight w:val="0"/>
                  <w:marTop w:val="0"/>
                  <w:marBottom w:val="0"/>
                  <w:divBdr>
                    <w:top w:val="none" w:sz="0" w:space="0" w:color="auto"/>
                    <w:left w:val="none" w:sz="0" w:space="0" w:color="auto"/>
                    <w:bottom w:val="none" w:sz="0" w:space="0" w:color="auto"/>
                    <w:right w:val="none" w:sz="0" w:space="0" w:color="auto"/>
                  </w:divBdr>
                  <w:divsChild>
                    <w:div w:id="1465927095">
                      <w:marLeft w:val="0"/>
                      <w:marRight w:val="0"/>
                      <w:marTop w:val="0"/>
                      <w:marBottom w:val="0"/>
                      <w:divBdr>
                        <w:top w:val="none" w:sz="0" w:space="0" w:color="auto"/>
                        <w:left w:val="none" w:sz="0" w:space="0" w:color="auto"/>
                        <w:bottom w:val="none" w:sz="0" w:space="0" w:color="auto"/>
                        <w:right w:val="none" w:sz="0" w:space="0" w:color="auto"/>
                      </w:divBdr>
                    </w:div>
                  </w:divsChild>
                </w:div>
                <w:div w:id="444889513">
                  <w:marLeft w:val="0"/>
                  <w:marRight w:val="0"/>
                  <w:marTop w:val="0"/>
                  <w:marBottom w:val="0"/>
                  <w:divBdr>
                    <w:top w:val="none" w:sz="0" w:space="0" w:color="auto"/>
                    <w:left w:val="none" w:sz="0" w:space="0" w:color="auto"/>
                    <w:bottom w:val="none" w:sz="0" w:space="0" w:color="auto"/>
                    <w:right w:val="none" w:sz="0" w:space="0" w:color="auto"/>
                  </w:divBdr>
                  <w:divsChild>
                    <w:div w:id="489561374">
                      <w:marLeft w:val="0"/>
                      <w:marRight w:val="0"/>
                      <w:marTop w:val="0"/>
                      <w:marBottom w:val="0"/>
                      <w:divBdr>
                        <w:top w:val="none" w:sz="0" w:space="0" w:color="auto"/>
                        <w:left w:val="none" w:sz="0" w:space="0" w:color="auto"/>
                        <w:bottom w:val="none" w:sz="0" w:space="0" w:color="auto"/>
                        <w:right w:val="none" w:sz="0" w:space="0" w:color="auto"/>
                      </w:divBdr>
                    </w:div>
                  </w:divsChild>
                </w:div>
                <w:div w:id="461964300">
                  <w:marLeft w:val="0"/>
                  <w:marRight w:val="0"/>
                  <w:marTop w:val="0"/>
                  <w:marBottom w:val="0"/>
                  <w:divBdr>
                    <w:top w:val="none" w:sz="0" w:space="0" w:color="auto"/>
                    <w:left w:val="none" w:sz="0" w:space="0" w:color="auto"/>
                    <w:bottom w:val="none" w:sz="0" w:space="0" w:color="auto"/>
                    <w:right w:val="none" w:sz="0" w:space="0" w:color="auto"/>
                  </w:divBdr>
                  <w:divsChild>
                    <w:div w:id="1655331340">
                      <w:marLeft w:val="0"/>
                      <w:marRight w:val="0"/>
                      <w:marTop w:val="0"/>
                      <w:marBottom w:val="0"/>
                      <w:divBdr>
                        <w:top w:val="none" w:sz="0" w:space="0" w:color="auto"/>
                        <w:left w:val="none" w:sz="0" w:space="0" w:color="auto"/>
                        <w:bottom w:val="none" w:sz="0" w:space="0" w:color="auto"/>
                        <w:right w:val="none" w:sz="0" w:space="0" w:color="auto"/>
                      </w:divBdr>
                    </w:div>
                  </w:divsChild>
                </w:div>
                <w:div w:id="486747733">
                  <w:marLeft w:val="0"/>
                  <w:marRight w:val="0"/>
                  <w:marTop w:val="0"/>
                  <w:marBottom w:val="0"/>
                  <w:divBdr>
                    <w:top w:val="none" w:sz="0" w:space="0" w:color="auto"/>
                    <w:left w:val="none" w:sz="0" w:space="0" w:color="auto"/>
                    <w:bottom w:val="none" w:sz="0" w:space="0" w:color="auto"/>
                    <w:right w:val="none" w:sz="0" w:space="0" w:color="auto"/>
                  </w:divBdr>
                  <w:divsChild>
                    <w:div w:id="555581163">
                      <w:marLeft w:val="0"/>
                      <w:marRight w:val="0"/>
                      <w:marTop w:val="0"/>
                      <w:marBottom w:val="0"/>
                      <w:divBdr>
                        <w:top w:val="none" w:sz="0" w:space="0" w:color="auto"/>
                        <w:left w:val="none" w:sz="0" w:space="0" w:color="auto"/>
                        <w:bottom w:val="none" w:sz="0" w:space="0" w:color="auto"/>
                        <w:right w:val="none" w:sz="0" w:space="0" w:color="auto"/>
                      </w:divBdr>
                    </w:div>
                  </w:divsChild>
                </w:div>
                <w:div w:id="489055987">
                  <w:marLeft w:val="0"/>
                  <w:marRight w:val="0"/>
                  <w:marTop w:val="0"/>
                  <w:marBottom w:val="0"/>
                  <w:divBdr>
                    <w:top w:val="none" w:sz="0" w:space="0" w:color="auto"/>
                    <w:left w:val="none" w:sz="0" w:space="0" w:color="auto"/>
                    <w:bottom w:val="none" w:sz="0" w:space="0" w:color="auto"/>
                    <w:right w:val="none" w:sz="0" w:space="0" w:color="auto"/>
                  </w:divBdr>
                  <w:divsChild>
                    <w:div w:id="1836218791">
                      <w:marLeft w:val="0"/>
                      <w:marRight w:val="0"/>
                      <w:marTop w:val="0"/>
                      <w:marBottom w:val="0"/>
                      <w:divBdr>
                        <w:top w:val="none" w:sz="0" w:space="0" w:color="auto"/>
                        <w:left w:val="none" w:sz="0" w:space="0" w:color="auto"/>
                        <w:bottom w:val="none" w:sz="0" w:space="0" w:color="auto"/>
                        <w:right w:val="none" w:sz="0" w:space="0" w:color="auto"/>
                      </w:divBdr>
                    </w:div>
                  </w:divsChild>
                </w:div>
                <w:div w:id="545878220">
                  <w:marLeft w:val="0"/>
                  <w:marRight w:val="0"/>
                  <w:marTop w:val="0"/>
                  <w:marBottom w:val="0"/>
                  <w:divBdr>
                    <w:top w:val="none" w:sz="0" w:space="0" w:color="auto"/>
                    <w:left w:val="none" w:sz="0" w:space="0" w:color="auto"/>
                    <w:bottom w:val="none" w:sz="0" w:space="0" w:color="auto"/>
                    <w:right w:val="none" w:sz="0" w:space="0" w:color="auto"/>
                  </w:divBdr>
                  <w:divsChild>
                    <w:div w:id="1046024491">
                      <w:marLeft w:val="0"/>
                      <w:marRight w:val="0"/>
                      <w:marTop w:val="0"/>
                      <w:marBottom w:val="0"/>
                      <w:divBdr>
                        <w:top w:val="none" w:sz="0" w:space="0" w:color="auto"/>
                        <w:left w:val="none" w:sz="0" w:space="0" w:color="auto"/>
                        <w:bottom w:val="none" w:sz="0" w:space="0" w:color="auto"/>
                        <w:right w:val="none" w:sz="0" w:space="0" w:color="auto"/>
                      </w:divBdr>
                    </w:div>
                  </w:divsChild>
                </w:div>
                <w:div w:id="546725811">
                  <w:marLeft w:val="0"/>
                  <w:marRight w:val="0"/>
                  <w:marTop w:val="0"/>
                  <w:marBottom w:val="0"/>
                  <w:divBdr>
                    <w:top w:val="none" w:sz="0" w:space="0" w:color="auto"/>
                    <w:left w:val="none" w:sz="0" w:space="0" w:color="auto"/>
                    <w:bottom w:val="none" w:sz="0" w:space="0" w:color="auto"/>
                    <w:right w:val="none" w:sz="0" w:space="0" w:color="auto"/>
                  </w:divBdr>
                  <w:divsChild>
                    <w:div w:id="1275016243">
                      <w:marLeft w:val="0"/>
                      <w:marRight w:val="0"/>
                      <w:marTop w:val="0"/>
                      <w:marBottom w:val="0"/>
                      <w:divBdr>
                        <w:top w:val="none" w:sz="0" w:space="0" w:color="auto"/>
                        <w:left w:val="none" w:sz="0" w:space="0" w:color="auto"/>
                        <w:bottom w:val="none" w:sz="0" w:space="0" w:color="auto"/>
                        <w:right w:val="none" w:sz="0" w:space="0" w:color="auto"/>
                      </w:divBdr>
                    </w:div>
                  </w:divsChild>
                </w:div>
                <w:div w:id="639041723">
                  <w:marLeft w:val="0"/>
                  <w:marRight w:val="0"/>
                  <w:marTop w:val="0"/>
                  <w:marBottom w:val="0"/>
                  <w:divBdr>
                    <w:top w:val="none" w:sz="0" w:space="0" w:color="auto"/>
                    <w:left w:val="none" w:sz="0" w:space="0" w:color="auto"/>
                    <w:bottom w:val="none" w:sz="0" w:space="0" w:color="auto"/>
                    <w:right w:val="none" w:sz="0" w:space="0" w:color="auto"/>
                  </w:divBdr>
                  <w:divsChild>
                    <w:div w:id="1580210999">
                      <w:marLeft w:val="0"/>
                      <w:marRight w:val="0"/>
                      <w:marTop w:val="0"/>
                      <w:marBottom w:val="0"/>
                      <w:divBdr>
                        <w:top w:val="none" w:sz="0" w:space="0" w:color="auto"/>
                        <w:left w:val="none" w:sz="0" w:space="0" w:color="auto"/>
                        <w:bottom w:val="none" w:sz="0" w:space="0" w:color="auto"/>
                        <w:right w:val="none" w:sz="0" w:space="0" w:color="auto"/>
                      </w:divBdr>
                    </w:div>
                  </w:divsChild>
                </w:div>
                <w:div w:id="653030573">
                  <w:marLeft w:val="0"/>
                  <w:marRight w:val="0"/>
                  <w:marTop w:val="0"/>
                  <w:marBottom w:val="0"/>
                  <w:divBdr>
                    <w:top w:val="none" w:sz="0" w:space="0" w:color="auto"/>
                    <w:left w:val="none" w:sz="0" w:space="0" w:color="auto"/>
                    <w:bottom w:val="none" w:sz="0" w:space="0" w:color="auto"/>
                    <w:right w:val="none" w:sz="0" w:space="0" w:color="auto"/>
                  </w:divBdr>
                  <w:divsChild>
                    <w:div w:id="383532064">
                      <w:marLeft w:val="0"/>
                      <w:marRight w:val="0"/>
                      <w:marTop w:val="0"/>
                      <w:marBottom w:val="0"/>
                      <w:divBdr>
                        <w:top w:val="none" w:sz="0" w:space="0" w:color="auto"/>
                        <w:left w:val="none" w:sz="0" w:space="0" w:color="auto"/>
                        <w:bottom w:val="none" w:sz="0" w:space="0" w:color="auto"/>
                        <w:right w:val="none" w:sz="0" w:space="0" w:color="auto"/>
                      </w:divBdr>
                    </w:div>
                  </w:divsChild>
                </w:div>
                <w:div w:id="699204509">
                  <w:marLeft w:val="0"/>
                  <w:marRight w:val="0"/>
                  <w:marTop w:val="0"/>
                  <w:marBottom w:val="0"/>
                  <w:divBdr>
                    <w:top w:val="none" w:sz="0" w:space="0" w:color="auto"/>
                    <w:left w:val="none" w:sz="0" w:space="0" w:color="auto"/>
                    <w:bottom w:val="none" w:sz="0" w:space="0" w:color="auto"/>
                    <w:right w:val="none" w:sz="0" w:space="0" w:color="auto"/>
                  </w:divBdr>
                  <w:divsChild>
                    <w:div w:id="267936489">
                      <w:marLeft w:val="0"/>
                      <w:marRight w:val="0"/>
                      <w:marTop w:val="0"/>
                      <w:marBottom w:val="0"/>
                      <w:divBdr>
                        <w:top w:val="none" w:sz="0" w:space="0" w:color="auto"/>
                        <w:left w:val="none" w:sz="0" w:space="0" w:color="auto"/>
                        <w:bottom w:val="none" w:sz="0" w:space="0" w:color="auto"/>
                        <w:right w:val="none" w:sz="0" w:space="0" w:color="auto"/>
                      </w:divBdr>
                    </w:div>
                  </w:divsChild>
                </w:div>
                <w:div w:id="699473907">
                  <w:marLeft w:val="0"/>
                  <w:marRight w:val="0"/>
                  <w:marTop w:val="0"/>
                  <w:marBottom w:val="0"/>
                  <w:divBdr>
                    <w:top w:val="none" w:sz="0" w:space="0" w:color="auto"/>
                    <w:left w:val="none" w:sz="0" w:space="0" w:color="auto"/>
                    <w:bottom w:val="none" w:sz="0" w:space="0" w:color="auto"/>
                    <w:right w:val="none" w:sz="0" w:space="0" w:color="auto"/>
                  </w:divBdr>
                  <w:divsChild>
                    <w:div w:id="1469590302">
                      <w:marLeft w:val="0"/>
                      <w:marRight w:val="0"/>
                      <w:marTop w:val="0"/>
                      <w:marBottom w:val="0"/>
                      <w:divBdr>
                        <w:top w:val="none" w:sz="0" w:space="0" w:color="auto"/>
                        <w:left w:val="none" w:sz="0" w:space="0" w:color="auto"/>
                        <w:bottom w:val="none" w:sz="0" w:space="0" w:color="auto"/>
                        <w:right w:val="none" w:sz="0" w:space="0" w:color="auto"/>
                      </w:divBdr>
                    </w:div>
                  </w:divsChild>
                </w:div>
                <w:div w:id="726956389">
                  <w:marLeft w:val="0"/>
                  <w:marRight w:val="0"/>
                  <w:marTop w:val="0"/>
                  <w:marBottom w:val="0"/>
                  <w:divBdr>
                    <w:top w:val="none" w:sz="0" w:space="0" w:color="auto"/>
                    <w:left w:val="none" w:sz="0" w:space="0" w:color="auto"/>
                    <w:bottom w:val="none" w:sz="0" w:space="0" w:color="auto"/>
                    <w:right w:val="none" w:sz="0" w:space="0" w:color="auto"/>
                  </w:divBdr>
                  <w:divsChild>
                    <w:div w:id="586378148">
                      <w:marLeft w:val="0"/>
                      <w:marRight w:val="0"/>
                      <w:marTop w:val="0"/>
                      <w:marBottom w:val="0"/>
                      <w:divBdr>
                        <w:top w:val="none" w:sz="0" w:space="0" w:color="auto"/>
                        <w:left w:val="none" w:sz="0" w:space="0" w:color="auto"/>
                        <w:bottom w:val="none" w:sz="0" w:space="0" w:color="auto"/>
                        <w:right w:val="none" w:sz="0" w:space="0" w:color="auto"/>
                      </w:divBdr>
                    </w:div>
                  </w:divsChild>
                </w:div>
                <w:div w:id="738482851">
                  <w:marLeft w:val="0"/>
                  <w:marRight w:val="0"/>
                  <w:marTop w:val="0"/>
                  <w:marBottom w:val="0"/>
                  <w:divBdr>
                    <w:top w:val="none" w:sz="0" w:space="0" w:color="auto"/>
                    <w:left w:val="none" w:sz="0" w:space="0" w:color="auto"/>
                    <w:bottom w:val="none" w:sz="0" w:space="0" w:color="auto"/>
                    <w:right w:val="none" w:sz="0" w:space="0" w:color="auto"/>
                  </w:divBdr>
                  <w:divsChild>
                    <w:div w:id="2108573292">
                      <w:marLeft w:val="0"/>
                      <w:marRight w:val="0"/>
                      <w:marTop w:val="0"/>
                      <w:marBottom w:val="0"/>
                      <w:divBdr>
                        <w:top w:val="none" w:sz="0" w:space="0" w:color="auto"/>
                        <w:left w:val="none" w:sz="0" w:space="0" w:color="auto"/>
                        <w:bottom w:val="none" w:sz="0" w:space="0" w:color="auto"/>
                        <w:right w:val="none" w:sz="0" w:space="0" w:color="auto"/>
                      </w:divBdr>
                    </w:div>
                  </w:divsChild>
                </w:div>
                <w:div w:id="751051486">
                  <w:marLeft w:val="0"/>
                  <w:marRight w:val="0"/>
                  <w:marTop w:val="0"/>
                  <w:marBottom w:val="0"/>
                  <w:divBdr>
                    <w:top w:val="none" w:sz="0" w:space="0" w:color="auto"/>
                    <w:left w:val="none" w:sz="0" w:space="0" w:color="auto"/>
                    <w:bottom w:val="none" w:sz="0" w:space="0" w:color="auto"/>
                    <w:right w:val="none" w:sz="0" w:space="0" w:color="auto"/>
                  </w:divBdr>
                  <w:divsChild>
                    <w:div w:id="1340162047">
                      <w:marLeft w:val="0"/>
                      <w:marRight w:val="0"/>
                      <w:marTop w:val="0"/>
                      <w:marBottom w:val="0"/>
                      <w:divBdr>
                        <w:top w:val="none" w:sz="0" w:space="0" w:color="auto"/>
                        <w:left w:val="none" w:sz="0" w:space="0" w:color="auto"/>
                        <w:bottom w:val="none" w:sz="0" w:space="0" w:color="auto"/>
                        <w:right w:val="none" w:sz="0" w:space="0" w:color="auto"/>
                      </w:divBdr>
                    </w:div>
                  </w:divsChild>
                </w:div>
                <w:div w:id="854618134">
                  <w:marLeft w:val="0"/>
                  <w:marRight w:val="0"/>
                  <w:marTop w:val="0"/>
                  <w:marBottom w:val="0"/>
                  <w:divBdr>
                    <w:top w:val="none" w:sz="0" w:space="0" w:color="auto"/>
                    <w:left w:val="none" w:sz="0" w:space="0" w:color="auto"/>
                    <w:bottom w:val="none" w:sz="0" w:space="0" w:color="auto"/>
                    <w:right w:val="none" w:sz="0" w:space="0" w:color="auto"/>
                  </w:divBdr>
                  <w:divsChild>
                    <w:div w:id="115686359">
                      <w:marLeft w:val="0"/>
                      <w:marRight w:val="0"/>
                      <w:marTop w:val="0"/>
                      <w:marBottom w:val="0"/>
                      <w:divBdr>
                        <w:top w:val="none" w:sz="0" w:space="0" w:color="auto"/>
                        <w:left w:val="none" w:sz="0" w:space="0" w:color="auto"/>
                        <w:bottom w:val="none" w:sz="0" w:space="0" w:color="auto"/>
                        <w:right w:val="none" w:sz="0" w:space="0" w:color="auto"/>
                      </w:divBdr>
                    </w:div>
                  </w:divsChild>
                </w:div>
                <w:div w:id="865827917">
                  <w:marLeft w:val="0"/>
                  <w:marRight w:val="0"/>
                  <w:marTop w:val="0"/>
                  <w:marBottom w:val="0"/>
                  <w:divBdr>
                    <w:top w:val="none" w:sz="0" w:space="0" w:color="auto"/>
                    <w:left w:val="none" w:sz="0" w:space="0" w:color="auto"/>
                    <w:bottom w:val="none" w:sz="0" w:space="0" w:color="auto"/>
                    <w:right w:val="none" w:sz="0" w:space="0" w:color="auto"/>
                  </w:divBdr>
                  <w:divsChild>
                    <w:div w:id="2069526171">
                      <w:marLeft w:val="0"/>
                      <w:marRight w:val="0"/>
                      <w:marTop w:val="0"/>
                      <w:marBottom w:val="0"/>
                      <w:divBdr>
                        <w:top w:val="none" w:sz="0" w:space="0" w:color="auto"/>
                        <w:left w:val="none" w:sz="0" w:space="0" w:color="auto"/>
                        <w:bottom w:val="none" w:sz="0" w:space="0" w:color="auto"/>
                        <w:right w:val="none" w:sz="0" w:space="0" w:color="auto"/>
                      </w:divBdr>
                    </w:div>
                  </w:divsChild>
                </w:div>
                <w:div w:id="921717422">
                  <w:marLeft w:val="0"/>
                  <w:marRight w:val="0"/>
                  <w:marTop w:val="0"/>
                  <w:marBottom w:val="0"/>
                  <w:divBdr>
                    <w:top w:val="none" w:sz="0" w:space="0" w:color="auto"/>
                    <w:left w:val="none" w:sz="0" w:space="0" w:color="auto"/>
                    <w:bottom w:val="none" w:sz="0" w:space="0" w:color="auto"/>
                    <w:right w:val="none" w:sz="0" w:space="0" w:color="auto"/>
                  </w:divBdr>
                  <w:divsChild>
                    <w:div w:id="344358749">
                      <w:marLeft w:val="0"/>
                      <w:marRight w:val="0"/>
                      <w:marTop w:val="0"/>
                      <w:marBottom w:val="0"/>
                      <w:divBdr>
                        <w:top w:val="none" w:sz="0" w:space="0" w:color="auto"/>
                        <w:left w:val="none" w:sz="0" w:space="0" w:color="auto"/>
                        <w:bottom w:val="none" w:sz="0" w:space="0" w:color="auto"/>
                        <w:right w:val="none" w:sz="0" w:space="0" w:color="auto"/>
                      </w:divBdr>
                    </w:div>
                  </w:divsChild>
                </w:div>
                <w:div w:id="923103166">
                  <w:marLeft w:val="0"/>
                  <w:marRight w:val="0"/>
                  <w:marTop w:val="0"/>
                  <w:marBottom w:val="0"/>
                  <w:divBdr>
                    <w:top w:val="none" w:sz="0" w:space="0" w:color="auto"/>
                    <w:left w:val="none" w:sz="0" w:space="0" w:color="auto"/>
                    <w:bottom w:val="none" w:sz="0" w:space="0" w:color="auto"/>
                    <w:right w:val="none" w:sz="0" w:space="0" w:color="auto"/>
                  </w:divBdr>
                  <w:divsChild>
                    <w:div w:id="591163314">
                      <w:marLeft w:val="0"/>
                      <w:marRight w:val="0"/>
                      <w:marTop w:val="0"/>
                      <w:marBottom w:val="0"/>
                      <w:divBdr>
                        <w:top w:val="none" w:sz="0" w:space="0" w:color="auto"/>
                        <w:left w:val="none" w:sz="0" w:space="0" w:color="auto"/>
                        <w:bottom w:val="none" w:sz="0" w:space="0" w:color="auto"/>
                        <w:right w:val="none" w:sz="0" w:space="0" w:color="auto"/>
                      </w:divBdr>
                    </w:div>
                  </w:divsChild>
                </w:div>
                <w:div w:id="924152239">
                  <w:marLeft w:val="0"/>
                  <w:marRight w:val="0"/>
                  <w:marTop w:val="0"/>
                  <w:marBottom w:val="0"/>
                  <w:divBdr>
                    <w:top w:val="none" w:sz="0" w:space="0" w:color="auto"/>
                    <w:left w:val="none" w:sz="0" w:space="0" w:color="auto"/>
                    <w:bottom w:val="none" w:sz="0" w:space="0" w:color="auto"/>
                    <w:right w:val="none" w:sz="0" w:space="0" w:color="auto"/>
                  </w:divBdr>
                  <w:divsChild>
                    <w:div w:id="1021660347">
                      <w:marLeft w:val="0"/>
                      <w:marRight w:val="0"/>
                      <w:marTop w:val="0"/>
                      <w:marBottom w:val="0"/>
                      <w:divBdr>
                        <w:top w:val="none" w:sz="0" w:space="0" w:color="auto"/>
                        <w:left w:val="none" w:sz="0" w:space="0" w:color="auto"/>
                        <w:bottom w:val="none" w:sz="0" w:space="0" w:color="auto"/>
                        <w:right w:val="none" w:sz="0" w:space="0" w:color="auto"/>
                      </w:divBdr>
                    </w:div>
                  </w:divsChild>
                </w:div>
                <w:div w:id="970482030">
                  <w:marLeft w:val="0"/>
                  <w:marRight w:val="0"/>
                  <w:marTop w:val="0"/>
                  <w:marBottom w:val="0"/>
                  <w:divBdr>
                    <w:top w:val="none" w:sz="0" w:space="0" w:color="auto"/>
                    <w:left w:val="none" w:sz="0" w:space="0" w:color="auto"/>
                    <w:bottom w:val="none" w:sz="0" w:space="0" w:color="auto"/>
                    <w:right w:val="none" w:sz="0" w:space="0" w:color="auto"/>
                  </w:divBdr>
                  <w:divsChild>
                    <w:div w:id="1033962004">
                      <w:marLeft w:val="0"/>
                      <w:marRight w:val="0"/>
                      <w:marTop w:val="0"/>
                      <w:marBottom w:val="0"/>
                      <w:divBdr>
                        <w:top w:val="none" w:sz="0" w:space="0" w:color="auto"/>
                        <w:left w:val="none" w:sz="0" w:space="0" w:color="auto"/>
                        <w:bottom w:val="none" w:sz="0" w:space="0" w:color="auto"/>
                        <w:right w:val="none" w:sz="0" w:space="0" w:color="auto"/>
                      </w:divBdr>
                    </w:div>
                  </w:divsChild>
                </w:div>
                <w:div w:id="976034520">
                  <w:marLeft w:val="0"/>
                  <w:marRight w:val="0"/>
                  <w:marTop w:val="0"/>
                  <w:marBottom w:val="0"/>
                  <w:divBdr>
                    <w:top w:val="none" w:sz="0" w:space="0" w:color="auto"/>
                    <w:left w:val="none" w:sz="0" w:space="0" w:color="auto"/>
                    <w:bottom w:val="none" w:sz="0" w:space="0" w:color="auto"/>
                    <w:right w:val="none" w:sz="0" w:space="0" w:color="auto"/>
                  </w:divBdr>
                  <w:divsChild>
                    <w:div w:id="1860510804">
                      <w:marLeft w:val="0"/>
                      <w:marRight w:val="0"/>
                      <w:marTop w:val="0"/>
                      <w:marBottom w:val="0"/>
                      <w:divBdr>
                        <w:top w:val="none" w:sz="0" w:space="0" w:color="auto"/>
                        <w:left w:val="none" w:sz="0" w:space="0" w:color="auto"/>
                        <w:bottom w:val="none" w:sz="0" w:space="0" w:color="auto"/>
                        <w:right w:val="none" w:sz="0" w:space="0" w:color="auto"/>
                      </w:divBdr>
                    </w:div>
                  </w:divsChild>
                </w:div>
                <w:div w:id="993215536">
                  <w:marLeft w:val="0"/>
                  <w:marRight w:val="0"/>
                  <w:marTop w:val="0"/>
                  <w:marBottom w:val="0"/>
                  <w:divBdr>
                    <w:top w:val="none" w:sz="0" w:space="0" w:color="auto"/>
                    <w:left w:val="none" w:sz="0" w:space="0" w:color="auto"/>
                    <w:bottom w:val="none" w:sz="0" w:space="0" w:color="auto"/>
                    <w:right w:val="none" w:sz="0" w:space="0" w:color="auto"/>
                  </w:divBdr>
                  <w:divsChild>
                    <w:div w:id="409890241">
                      <w:marLeft w:val="0"/>
                      <w:marRight w:val="0"/>
                      <w:marTop w:val="0"/>
                      <w:marBottom w:val="0"/>
                      <w:divBdr>
                        <w:top w:val="none" w:sz="0" w:space="0" w:color="auto"/>
                        <w:left w:val="none" w:sz="0" w:space="0" w:color="auto"/>
                        <w:bottom w:val="none" w:sz="0" w:space="0" w:color="auto"/>
                        <w:right w:val="none" w:sz="0" w:space="0" w:color="auto"/>
                      </w:divBdr>
                    </w:div>
                  </w:divsChild>
                </w:div>
                <w:div w:id="1001353765">
                  <w:marLeft w:val="0"/>
                  <w:marRight w:val="0"/>
                  <w:marTop w:val="0"/>
                  <w:marBottom w:val="0"/>
                  <w:divBdr>
                    <w:top w:val="none" w:sz="0" w:space="0" w:color="auto"/>
                    <w:left w:val="none" w:sz="0" w:space="0" w:color="auto"/>
                    <w:bottom w:val="none" w:sz="0" w:space="0" w:color="auto"/>
                    <w:right w:val="none" w:sz="0" w:space="0" w:color="auto"/>
                  </w:divBdr>
                  <w:divsChild>
                    <w:div w:id="1053967710">
                      <w:marLeft w:val="0"/>
                      <w:marRight w:val="0"/>
                      <w:marTop w:val="0"/>
                      <w:marBottom w:val="0"/>
                      <w:divBdr>
                        <w:top w:val="none" w:sz="0" w:space="0" w:color="auto"/>
                        <w:left w:val="none" w:sz="0" w:space="0" w:color="auto"/>
                        <w:bottom w:val="none" w:sz="0" w:space="0" w:color="auto"/>
                        <w:right w:val="none" w:sz="0" w:space="0" w:color="auto"/>
                      </w:divBdr>
                    </w:div>
                  </w:divsChild>
                </w:div>
                <w:div w:id="1052576085">
                  <w:marLeft w:val="0"/>
                  <w:marRight w:val="0"/>
                  <w:marTop w:val="0"/>
                  <w:marBottom w:val="0"/>
                  <w:divBdr>
                    <w:top w:val="none" w:sz="0" w:space="0" w:color="auto"/>
                    <w:left w:val="none" w:sz="0" w:space="0" w:color="auto"/>
                    <w:bottom w:val="none" w:sz="0" w:space="0" w:color="auto"/>
                    <w:right w:val="none" w:sz="0" w:space="0" w:color="auto"/>
                  </w:divBdr>
                  <w:divsChild>
                    <w:div w:id="266928350">
                      <w:marLeft w:val="0"/>
                      <w:marRight w:val="0"/>
                      <w:marTop w:val="0"/>
                      <w:marBottom w:val="0"/>
                      <w:divBdr>
                        <w:top w:val="none" w:sz="0" w:space="0" w:color="auto"/>
                        <w:left w:val="none" w:sz="0" w:space="0" w:color="auto"/>
                        <w:bottom w:val="none" w:sz="0" w:space="0" w:color="auto"/>
                        <w:right w:val="none" w:sz="0" w:space="0" w:color="auto"/>
                      </w:divBdr>
                    </w:div>
                  </w:divsChild>
                </w:div>
                <w:div w:id="1117219186">
                  <w:marLeft w:val="0"/>
                  <w:marRight w:val="0"/>
                  <w:marTop w:val="0"/>
                  <w:marBottom w:val="0"/>
                  <w:divBdr>
                    <w:top w:val="none" w:sz="0" w:space="0" w:color="auto"/>
                    <w:left w:val="none" w:sz="0" w:space="0" w:color="auto"/>
                    <w:bottom w:val="none" w:sz="0" w:space="0" w:color="auto"/>
                    <w:right w:val="none" w:sz="0" w:space="0" w:color="auto"/>
                  </w:divBdr>
                  <w:divsChild>
                    <w:div w:id="1813405090">
                      <w:marLeft w:val="0"/>
                      <w:marRight w:val="0"/>
                      <w:marTop w:val="0"/>
                      <w:marBottom w:val="0"/>
                      <w:divBdr>
                        <w:top w:val="none" w:sz="0" w:space="0" w:color="auto"/>
                        <w:left w:val="none" w:sz="0" w:space="0" w:color="auto"/>
                        <w:bottom w:val="none" w:sz="0" w:space="0" w:color="auto"/>
                        <w:right w:val="none" w:sz="0" w:space="0" w:color="auto"/>
                      </w:divBdr>
                    </w:div>
                  </w:divsChild>
                </w:div>
                <w:div w:id="1120609272">
                  <w:marLeft w:val="0"/>
                  <w:marRight w:val="0"/>
                  <w:marTop w:val="0"/>
                  <w:marBottom w:val="0"/>
                  <w:divBdr>
                    <w:top w:val="none" w:sz="0" w:space="0" w:color="auto"/>
                    <w:left w:val="none" w:sz="0" w:space="0" w:color="auto"/>
                    <w:bottom w:val="none" w:sz="0" w:space="0" w:color="auto"/>
                    <w:right w:val="none" w:sz="0" w:space="0" w:color="auto"/>
                  </w:divBdr>
                  <w:divsChild>
                    <w:div w:id="1196651476">
                      <w:marLeft w:val="0"/>
                      <w:marRight w:val="0"/>
                      <w:marTop w:val="0"/>
                      <w:marBottom w:val="0"/>
                      <w:divBdr>
                        <w:top w:val="none" w:sz="0" w:space="0" w:color="auto"/>
                        <w:left w:val="none" w:sz="0" w:space="0" w:color="auto"/>
                        <w:bottom w:val="none" w:sz="0" w:space="0" w:color="auto"/>
                        <w:right w:val="none" w:sz="0" w:space="0" w:color="auto"/>
                      </w:divBdr>
                    </w:div>
                  </w:divsChild>
                </w:div>
                <w:div w:id="1120878254">
                  <w:marLeft w:val="0"/>
                  <w:marRight w:val="0"/>
                  <w:marTop w:val="0"/>
                  <w:marBottom w:val="0"/>
                  <w:divBdr>
                    <w:top w:val="none" w:sz="0" w:space="0" w:color="auto"/>
                    <w:left w:val="none" w:sz="0" w:space="0" w:color="auto"/>
                    <w:bottom w:val="none" w:sz="0" w:space="0" w:color="auto"/>
                    <w:right w:val="none" w:sz="0" w:space="0" w:color="auto"/>
                  </w:divBdr>
                  <w:divsChild>
                    <w:div w:id="614558472">
                      <w:marLeft w:val="0"/>
                      <w:marRight w:val="0"/>
                      <w:marTop w:val="0"/>
                      <w:marBottom w:val="0"/>
                      <w:divBdr>
                        <w:top w:val="none" w:sz="0" w:space="0" w:color="auto"/>
                        <w:left w:val="none" w:sz="0" w:space="0" w:color="auto"/>
                        <w:bottom w:val="none" w:sz="0" w:space="0" w:color="auto"/>
                        <w:right w:val="none" w:sz="0" w:space="0" w:color="auto"/>
                      </w:divBdr>
                    </w:div>
                  </w:divsChild>
                </w:div>
                <w:div w:id="1126047342">
                  <w:marLeft w:val="0"/>
                  <w:marRight w:val="0"/>
                  <w:marTop w:val="0"/>
                  <w:marBottom w:val="0"/>
                  <w:divBdr>
                    <w:top w:val="none" w:sz="0" w:space="0" w:color="auto"/>
                    <w:left w:val="none" w:sz="0" w:space="0" w:color="auto"/>
                    <w:bottom w:val="none" w:sz="0" w:space="0" w:color="auto"/>
                    <w:right w:val="none" w:sz="0" w:space="0" w:color="auto"/>
                  </w:divBdr>
                  <w:divsChild>
                    <w:div w:id="954021200">
                      <w:marLeft w:val="0"/>
                      <w:marRight w:val="0"/>
                      <w:marTop w:val="0"/>
                      <w:marBottom w:val="0"/>
                      <w:divBdr>
                        <w:top w:val="none" w:sz="0" w:space="0" w:color="auto"/>
                        <w:left w:val="none" w:sz="0" w:space="0" w:color="auto"/>
                        <w:bottom w:val="none" w:sz="0" w:space="0" w:color="auto"/>
                        <w:right w:val="none" w:sz="0" w:space="0" w:color="auto"/>
                      </w:divBdr>
                    </w:div>
                  </w:divsChild>
                </w:div>
                <w:div w:id="1129669224">
                  <w:marLeft w:val="0"/>
                  <w:marRight w:val="0"/>
                  <w:marTop w:val="0"/>
                  <w:marBottom w:val="0"/>
                  <w:divBdr>
                    <w:top w:val="none" w:sz="0" w:space="0" w:color="auto"/>
                    <w:left w:val="none" w:sz="0" w:space="0" w:color="auto"/>
                    <w:bottom w:val="none" w:sz="0" w:space="0" w:color="auto"/>
                    <w:right w:val="none" w:sz="0" w:space="0" w:color="auto"/>
                  </w:divBdr>
                  <w:divsChild>
                    <w:div w:id="1851597758">
                      <w:marLeft w:val="0"/>
                      <w:marRight w:val="0"/>
                      <w:marTop w:val="0"/>
                      <w:marBottom w:val="0"/>
                      <w:divBdr>
                        <w:top w:val="none" w:sz="0" w:space="0" w:color="auto"/>
                        <w:left w:val="none" w:sz="0" w:space="0" w:color="auto"/>
                        <w:bottom w:val="none" w:sz="0" w:space="0" w:color="auto"/>
                        <w:right w:val="none" w:sz="0" w:space="0" w:color="auto"/>
                      </w:divBdr>
                    </w:div>
                  </w:divsChild>
                </w:div>
                <w:div w:id="1141457226">
                  <w:marLeft w:val="0"/>
                  <w:marRight w:val="0"/>
                  <w:marTop w:val="0"/>
                  <w:marBottom w:val="0"/>
                  <w:divBdr>
                    <w:top w:val="none" w:sz="0" w:space="0" w:color="auto"/>
                    <w:left w:val="none" w:sz="0" w:space="0" w:color="auto"/>
                    <w:bottom w:val="none" w:sz="0" w:space="0" w:color="auto"/>
                    <w:right w:val="none" w:sz="0" w:space="0" w:color="auto"/>
                  </w:divBdr>
                  <w:divsChild>
                    <w:div w:id="1104571401">
                      <w:marLeft w:val="0"/>
                      <w:marRight w:val="0"/>
                      <w:marTop w:val="0"/>
                      <w:marBottom w:val="0"/>
                      <w:divBdr>
                        <w:top w:val="none" w:sz="0" w:space="0" w:color="auto"/>
                        <w:left w:val="none" w:sz="0" w:space="0" w:color="auto"/>
                        <w:bottom w:val="none" w:sz="0" w:space="0" w:color="auto"/>
                        <w:right w:val="none" w:sz="0" w:space="0" w:color="auto"/>
                      </w:divBdr>
                    </w:div>
                  </w:divsChild>
                </w:div>
                <w:div w:id="1161387635">
                  <w:marLeft w:val="0"/>
                  <w:marRight w:val="0"/>
                  <w:marTop w:val="0"/>
                  <w:marBottom w:val="0"/>
                  <w:divBdr>
                    <w:top w:val="none" w:sz="0" w:space="0" w:color="auto"/>
                    <w:left w:val="none" w:sz="0" w:space="0" w:color="auto"/>
                    <w:bottom w:val="none" w:sz="0" w:space="0" w:color="auto"/>
                    <w:right w:val="none" w:sz="0" w:space="0" w:color="auto"/>
                  </w:divBdr>
                  <w:divsChild>
                    <w:div w:id="84036161">
                      <w:marLeft w:val="0"/>
                      <w:marRight w:val="0"/>
                      <w:marTop w:val="0"/>
                      <w:marBottom w:val="0"/>
                      <w:divBdr>
                        <w:top w:val="none" w:sz="0" w:space="0" w:color="auto"/>
                        <w:left w:val="none" w:sz="0" w:space="0" w:color="auto"/>
                        <w:bottom w:val="none" w:sz="0" w:space="0" w:color="auto"/>
                        <w:right w:val="none" w:sz="0" w:space="0" w:color="auto"/>
                      </w:divBdr>
                    </w:div>
                  </w:divsChild>
                </w:div>
                <w:div w:id="1208421084">
                  <w:marLeft w:val="0"/>
                  <w:marRight w:val="0"/>
                  <w:marTop w:val="0"/>
                  <w:marBottom w:val="0"/>
                  <w:divBdr>
                    <w:top w:val="none" w:sz="0" w:space="0" w:color="auto"/>
                    <w:left w:val="none" w:sz="0" w:space="0" w:color="auto"/>
                    <w:bottom w:val="none" w:sz="0" w:space="0" w:color="auto"/>
                    <w:right w:val="none" w:sz="0" w:space="0" w:color="auto"/>
                  </w:divBdr>
                  <w:divsChild>
                    <w:div w:id="446241205">
                      <w:marLeft w:val="0"/>
                      <w:marRight w:val="0"/>
                      <w:marTop w:val="0"/>
                      <w:marBottom w:val="0"/>
                      <w:divBdr>
                        <w:top w:val="none" w:sz="0" w:space="0" w:color="auto"/>
                        <w:left w:val="none" w:sz="0" w:space="0" w:color="auto"/>
                        <w:bottom w:val="none" w:sz="0" w:space="0" w:color="auto"/>
                        <w:right w:val="none" w:sz="0" w:space="0" w:color="auto"/>
                      </w:divBdr>
                    </w:div>
                  </w:divsChild>
                </w:div>
                <w:div w:id="1242913080">
                  <w:marLeft w:val="0"/>
                  <w:marRight w:val="0"/>
                  <w:marTop w:val="0"/>
                  <w:marBottom w:val="0"/>
                  <w:divBdr>
                    <w:top w:val="none" w:sz="0" w:space="0" w:color="auto"/>
                    <w:left w:val="none" w:sz="0" w:space="0" w:color="auto"/>
                    <w:bottom w:val="none" w:sz="0" w:space="0" w:color="auto"/>
                    <w:right w:val="none" w:sz="0" w:space="0" w:color="auto"/>
                  </w:divBdr>
                  <w:divsChild>
                    <w:div w:id="780733429">
                      <w:marLeft w:val="0"/>
                      <w:marRight w:val="0"/>
                      <w:marTop w:val="0"/>
                      <w:marBottom w:val="0"/>
                      <w:divBdr>
                        <w:top w:val="none" w:sz="0" w:space="0" w:color="auto"/>
                        <w:left w:val="none" w:sz="0" w:space="0" w:color="auto"/>
                        <w:bottom w:val="none" w:sz="0" w:space="0" w:color="auto"/>
                        <w:right w:val="none" w:sz="0" w:space="0" w:color="auto"/>
                      </w:divBdr>
                    </w:div>
                  </w:divsChild>
                </w:div>
                <w:div w:id="1251626051">
                  <w:marLeft w:val="0"/>
                  <w:marRight w:val="0"/>
                  <w:marTop w:val="0"/>
                  <w:marBottom w:val="0"/>
                  <w:divBdr>
                    <w:top w:val="none" w:sz="0" w:space="0" w:color="auto"/>
                    <w:left w:val="none" w:sz="0" w:space="0" w:color="auto"/>
                    <w:bottom w:val="none" w:sz="0" w:space="0" w:color="auto"/>
                    <w:right w:val="none" w:sz="0" w:space="0" w:color="auto"/>
                  </w:divBdr>
                  <w:divsChild>
                    <w:div w:id="245844452">
                      <w:marLeft w:val="0"/>
                      <w:marRight w:val="0"/>
                      <w:marTop w:val="0"/>
                      <w:marBottom w:val="0"/>
                      <w:divBdr>
                        <w:top w:val="none" w:sz="0" w:space="0" w:color="auto"/>
                        <w:left w:val="none" w:sz="0" w:space="0" w:color="auto"/>
                        <w:bottom w:val="none" w:sz="0" w:space="0" w:color="auto"/>
                        <w:right w:val="none" w:sz="0" w:space="0" w:color="auto"/>
                      </w:divBdr>
                    </w:div>
                  </w:divsChild>
                </w:div>
                <w:div w:id="1261836958">
                  <w:marLeft w:val="0"/>
                  <w:marRight w:val="0"/>
                  <w:marTop w:val="0"/>
                  <w:marBottom w:val="0"/>
                  <w:divBdr>
                    <w:top w:val="none" w:sz="0" w:space="0" w:color="auto"/>
                    <w:left w:val="none" w:sz="0" w:space="0" w:color="auto"/>
                    <w:bottom w:val="none" w:sz="0" w:space="0" w:color="auto"/>
                    <w:right w:val="none" w:sz="0" w:space="0" w:color="auto"/>
                  </w:divBdr>
                  <w:divsChild>
                    <w:div w:id="1019697260">
                      <w:marLeft w:val="0"/>
                      <w:marRight w:val="0"/>
                      <w:marTop w:val="0"/>
                      <w:marBottom w:val="0"/>
                      <w:divBdr>
                        <w:top w:val="none" w:sz="0" w:space="0" w:color="auto"/>
                        <w:left w:val="none" w:sz="0" w:space="0" w:color="auto"/>
                        <w:bottom w:val="none" w:sz="0" w:space="0" w:color="auto"/>
                        <w:right w:val="none" w:sz="0" w:space="0" w:color="auto"/>
                      </w:divBdr>
                    </w:div>
                  </w:divsChild>
                </w:div>
                <w:div w:id="1263151424">
                  <w:marLeft w:val="0"/>
                  <w:marRight w:val="0"/>
                  <w:marTop w:val="0"/>
                  <w:marBottom w:val="0"/>
                  <w:divBdr>
                    <w:top w:val="none" w:sz="0" w:space="0" w:color="auto"/>
                    <w:left w:val="none" w:sz="0" w:space="0" w:color="auto"/>
                    <w:bottom w:val="none" w:sz="0" w:space="0" w:color="auto"/>
                    <w:right w:val="none" w:sz="0" w:space="0" w:color="auto"/>
                  </w:divBdr>
                  <w:divsChild>
                    <w:div w:id="2038655973">
                      <w:marLeft w:val="0"/>
                      <w:marRight w:val="0"/>
                      <w:marTop w:val="0"/>
                      <w:marBottom w:val="0"/>
                      <w:divBdr>
                        <w:top w:val="none" w:sz="0" w:space="0" w:color="auto"/>
                        <w:left w:val="none" w:sz="0" w:space="0" w:color="auto"/>
                        <w:bottom w:val="none" w:sz="0" w:space="0" w:color="auto"/>
                        <w:right w:val="none" w:sz="0" w:space="0" w:color="auto"/>
                      </w:divBdr>
                    </w:div>
                  </w:divsChild>
                </w:div>
                <w:div w:id="1268653688">
                  <w:marLeft w:val="0"/>
                  <w:marRight w:val="0"/>
                  <w:marTop w:val="0"/>
                  <w:marBottom w:val="0"/>
                  <w:divBdr>
                    <w:top w:val="none" w:sz="0" w:space="0" w:color="auto"/>
                    <w:left w:val="none" w:sz="0" w:space="0" w:color="auto"/>
                    <w:bottom w:val="none" w:sz="0" w:space="0" w:color="auto"/>
                    <w:right w:val="none" w:sz="0" w:space="0" w:color="auto"/>
                  </w:divBdr>
                  <w:divsChild>
                    <w:div w:id="1628387424">
                      <w:marLeft w:val="0"/>
                      <w:marRight w:val="0"/>
                      <w:marTop w:val="0"/>
                      <w:marBottom w:val="0"/>
                      <w:divBdr>
                        <w:top w:val="none" w:sz="0" w:space="0" w:color="auto"/>
                        <w:left w:val="none" w:sz="0" w:space="0" w:color="auto"/>
                        <w:bottom w:val="none" w:sz="0" w:space="0" w:color="auto"/>
                        <w:right w:val="none" w:sz="0" w:space="0" w:color="auto"/>
                      </w:divBdr>
                    </w:div>
                  </w:divsChild>
                </w:div>
                <w:div w:id="1299189552">
                  <w:marLeft w:val="0"/>
                  <w:marRight w:val="0"/>
                  <w:marTop w:val="0"/>
                  <w:marBottom w:val="0"/>
                  <w:divBdr>
                    <w:top w:val="none" w:sz="0" w:space="0" w:color="auto"/>
                    <w:left w:val="none" w:sz="0" w:space="0" w:color="auto"/>
                    <w:bottom w:val="none" w:sz="0" w:space="0" w:color="auto"/>
                    <w:right w:val="none" w:sz="0" w:space="0" w:color="auto"/>
                  </w:divBdr>
                  <w:divsChild>
                    <w:div w:id="995961194">
                      <w:marLeft w:val="0"/>
                      <w:marRight w:val="0"/>
                      <w:marTop w:val="0"/>
                      <w:marBottom w:val="0"/>
                      <w:divBdr>
                        <w:top w:val="none" w:sz="0" w:space="0" w:color="auto"/>
                        <w:left w:val="none" w:sz="0" w:space="0" w:color="auto"/>
                        <w:bottom w:val="none" w:sz="0" w:space="0" w:color="auto"/>
                        <w:right w:val="none" w:sz="0" w:space="0" w:color="auto"/>
                      </w:divBdr>
                    </w:div>
                  </w:divsChild>
                </w:div>
                <w:div w:id="1347093081">
                  <w:marLeft w:val="0"/>
                  <w:marRight w:val="0"/>
                  <w:marTop w:val="0"/>
                  <w:marBottom w:val="0"/>
                  <w:divBdr>
                    <w:top w:val="none" w:sz="0" w:space="0" w:color="auto"/>
                    <w:left w:val="none" w:sz="0" w:space="0" w:color="auto"/>
                    <w:bottom w:val="none" w:sz="0" w:space="0" w:color="auto"/>
                    <w:right w:val="none" w:sz="0" w:space="0" w:color="auto"/>
                  </w:divBdr>
                  <w:divsChild>
                    <w:div w:id="140193217">
                      <w:marLeft w:val="0"/>
                      <w:marRight w:val="0"/>
                      <w:marTop w:val="0"/>
                      <w:marBottom w:val="0"/>
                      <w:divBdr>
                        <w:top w:val="none" w:sz="0" w:space="0" w:color="auto"/>
                        <w:left w:val="none" w:sz="0" w:space="0" w:color="auto"/>
                        <w:bottom w:val="none" w:sz="0" w:space="0" w:color="auto"/>
                        <w:right w:val="none" w:sz="0" w:space="0" w:color="auto"/>
                      </w:divBdr>
                    </w:div>
                  </w:divsChild>
                </w:div>
                <w:div w:id="1368874764">
                  <w:marLeft w:val="0"/>
                  <w:marRight w:val="0"/>
                  <w:marTop w:val="0"/>
                  <w:marBottom w:val="0"/>
                  <w:divBdr>
                    <w:top w:val="none" w:sz="0" w:space="0" w:color="auto"/>
                    <w:left w:val="none" w:sz="0" w:space="0" w:color="auto"/>
                    <w:bottom w:val="none" w:sz="0" w:space="0" w:color="auto"/>
                    <w:right w:val="none" w:sz="0" w:space="0" w:color="auto"/>
                  </w:divBdr>
                  <w:divsChild>
                    <w:div w:id="719982752">
                      <w:marLeft w:val="0"/>
                      <w:marRight w:val="0"/>
                      <w:marTop w:val="0"/>
                      <w:marBottom w:val="0"/>
                      <w:divBdr>
                        <w:top w:val="none" w:sz="0" w:space="0" w:color="auto"/>
                        <w:left w:val="none" w:sz="0" w:space="0" w:color="auto"/>
                        <w:bottom w:val="none" w:sz="0" w:space="0" w:color="auto"/>
                        <w:right w:val="none" w:sz="0" w:space="0" w:color="auto"/>
                      </w:divBdr>
                    </w:div>
                  </w:divsChild>
                </w:div>
                <w:div w:id="1373506263">
                  <w:marLeft w:val="0"/>
                  <w:marRight w:val="0"/>
                  <w:marTop w:val="0"/>
                  <w:marBottom w:val="0"/>
                  <w:divBdr>
                    <w:top w:val="none" w:sz="0" w:space="0" w:color="auto"/>
                    <w:left w:val="none" w:sz="0" w:space="0" w:color="auto"/>
                    <w:bottom w:val="none" w:sz="0" w:space="0" w:color="auto"/>
                    <w:right w:val="none" w:sz="0" w:space="0" w:color="auto"/>
                  </w:divBdr>
                  <w:divsChild>
                    <w:div w:id="1488015057">
                      <w:marLeft w:val="0"/>
                      <w:marRight w:val="0"/>
                      <w:marTop w:val="0"/>
                      <w:marBottom w:val="0"/>
                      <w:divBdr>
                        <w:top w:val="none" w:sz="0" w:space="0" w:color="auto"/>
                        <w:left w:val="none" w:sz="0" w:space="0" w:color="auto"/>
                        <w:bottom w:val="none" w:sz="0" w:space="0" w:color="auto"/>
                        <w:right w:val="none" w:sz="0" w:space="0" w:color="auto"/>
                      </w:divBdr>
                    </w:div>
                  </w:divsChild>
                </w:div>
                <w:div w:id="1383018824">
                  <w:marLeft w:val="0"/>
                  <w:marRight w:val="0"/>
                  <w:marTop w:val="0"/>
                  <w:marBottom w:val="0"/>
                  <w:divBdr>
                    <w:top w:val="none" w:sz="0" w:space="0" w:color="auto"/>
                    <w:left w:val="none" w:sz="0" w:space="0" w:color="auto"/>
                    <w:bottom w:val="none" w:sz="0" w:space="0" w:color="auto"/>
                    <w:right w:val="none" w:sz="0" w:space="0" w:color="auto"/>
                  </w:divBdr>
                  <w:divsChild>
                    <w:div w:id="377321663">
                      <w:marLeft w:val="0"/>
                      <w:marRight w:val="0"/>
                      <w:marTop w:val="0"/>
                      <w:marBottom w:val="0"/>
                      <w:divBdr>
                        <w:top w:val="none" w:sz="0" w:space="0" w:color="auto"/>
                        <w:left w:val="none" w:sz="0" w:space="0" w:color="auto"/>
                        <w:bottom w:val="none" w:sz="0" w:space="0" w:color="auto"/>
                        <w:right w:val="none" w:sz="0" w:space="0" w:color="auto"/>
                      </w:divBdr>
                    </w:div>
                  </w:divsChild>
                </w:div>
                <w:div w:id="1387726254">
                  <w:marLeft w:val="0"/>
                  <w:marRight w:val="0"/>
                  <w:marTop w:val="0"/>
                  <w:marBottom w:val="0"/>
                  <w:divBdr>
                    <w:top w:val="none" w:sz="0" w:space="0" w:color="auto"/>
                    <w:left w:val="none" w:sz="0" w:space="0" w:color="auto"/>
                    <w:bottom w:val="none" w:sz="0" w:space="0" w:color="auto"/>
                    <w:right w:val="none" w:sz="0" w:space="0" w:color="auto"/>
                  </w:divBdr>
                  <w:divsChild>
                    <w:div w:id="1380547281">
                      <w:marLeft w:val="0"/>
                      <w:marRight w:val="0"/>
                      <w:marTop w:val="0"/>
                      <w:marBottom w:val="0"/>
                      <w:divBdr>
                        <w:top w:val="none" w:sz="0" w:space="0" w:color="auto"/>
                        <w:left w:val="none" w:sz="0" w:space="0" w:color="auto"/>
                        <w:bottom w:val="none" w:sz="0" w:space="0" w:color="auto"/>
                        <w:right w:val="none" w:sz="0" w:space="0" w:color="auto"/>
                      </w:divBdr>
                    </w:div>
                  </w:divsChild>
                </w:div>
                <w:div w:id="1446919795">
                  <w:marLeft w:val="0"/>
                  <w:marRight w:val="0"/>
                  <w:marTop w:val="0"/>
                  <w:marBottom w:val="0"/>
                  <w:divBdr>
                    <w:top w:val="none" w:sz="0" w:space="0" w:color="auto"/>
                    <w:left w:val="none" w:sz="0" w:space="0" w:color="auto"/>
                    <w:bottom w:val="none" w:sz="0" w:space="0" w:color="auto"/>
                    <w:right w:val="none" w:sz="0" w:space="0" w:color="auto"/>
                  </w:divBdr>
                  <w:divsChild>
                    <w:div w:id="1385955614">
                      <w:marLeft w:val="0"/>
                      <w:marRight w:val="0"/>
                      <w:marTop w:val="0"/>
                      <w:marBottom w:val="0"/>
                      <w:divBdr>
                        <w:top w:val="none" w:sz="0" w:space="0" w:color="auto"/>
                        <w:left w:val="none" w:sz="0" w:space="0" w:color="auto"/>
                        <w:bottom w:val="none" w:sz="0" w:space="0" w:color="auto"/>
                        <w:right w:val="none" w:sz="0" w:space="0" w:color="auto"/>
                      </w:divBdr>
                    </w:div>
                  </w:divsChild>
                </w:div>
                <w:div w:id="1466237162">
                  <w:marLeft w:val="0"/>
                  <w:marRight w:val="0"/>
                  <w:marTop w:val="0"/>
                  <w:marBottom w:val="0"/>
                  <w:divBdr>
                    <w:top w:val="none" w:sz="0" w:space="0" w:color="auto"/>
                    <w:left w:val="none" w:sz="0" w:space="0" w:color="auto"/>
                    <w:bottom w:val="none" w:sz="0" w:space="0" w:color="auto"/>
                    <w:right w:val="none" w:sz="0" w:space="0" w:color="auto"/>
                  </w:divBdr>
                  <w:divsChild>
                    <w:div w:id="756438541">
                      <w:marLeft w:val="0"/>
                      <w:marRight w:val="0"/>
                      <w:marTop w:val="0"/>
                      <w:marBottom w:val="0"/>
                      <w:divBdr>
                        <w:top w:val="none" w:sz="0" w:space="0" w:color="auto"/>
                        <w:left w:val="none" w:sz="0" w:space="0" w:color="auto"/>
                        <w:bottom w:val="none" w:sz="0" w:space="0" w:color="auto"/>
                        <w:right w:val="none" w:sz="0" w:space="0" w:color="auto"/>
                      </w:divBdr>
                    </w:div>
                  </w:divsChild>
                </w:div>
                <w:div w:id="1484353710">
                  <w:marLeft w:val="0"/>
                  <w:marRight w:val="0"/>
                  <w:marTop w:val="0"/>
                  <w:marBottom w:val="0"/>
                  <w:divBdr>
                    <w:top w:val="none" w:sz="0" w:space="0" w:color="auto"/>
                    <w:left w:val="none" w:sz="0" w:space="0" w:color="auto"/>
                    <w:bottom w:val="none" w:sz="0" w:space="0" w:color="auto"/>
                    <w:right w:val="none" w:sz="0" w:space="0" w:color="auto"/>
                  </w:divBdr>
                  <w:divsChild>
                    <w:div w:id="2109308339">
                      <w:marLeft w:val="0"/>
                      <w:marRight w:val="0"/>
                      <w:marTop w:val="0"/>
                      <w:marBottom w:val="0"/>
                      <w:divBdr>
                        <w:top w:val="none" w:sz="0" w:space="0" w:color="auto"/>
                        <w:left w:val="none" w:sz="0" w:space="0" w:color="auto"/>
                        <w:bottom w:val="none" w:sz="0" w:space="0" w:color="auto"/>
                        <w:right w:val="none" w:sz="0" w:space="0" w:color="auto"/>
                      </w:divBdr>
                    </w:div>
                  </w:divsChild>
                </w:div>
                <w:div w:id="1485313987">
                  <w:marLeft w:val="0"/>
                  <w:marRight w:val="0"/>
                  <w:marTop w:val="0"/>
                  <w:marBottom w:val="0"/>
                  <w:divBdr>
                    <w:top w:val="none" w:sz="0" w:space="0" w:color="auto"/>
                    <w:left w:val="none" w:sz="0" w:space="0" w:color="auto"/>
                    <w:bottom w:val="none" w:sz="0" w:space="0" w:color="auto"/>
                    <w:right w:val="none" w:sz="0" w:space="0" w:color="auto"/>
                  </w:divBdr>
                  <w:divsChild>
                    <w:div w:id="305663950">
                      <w:marLeft w:val="0"/>
                      <w:marRight w:val="0"/>
                      <w:marTop w:val="0"/>
                      <w:marBottom w:val="0"/>
                      <w:divBdr>
                        <w:top w:val="none" w:sz="0" w:space="0" w:color="auto"/>
                        <w:left w:val="none" w:sz="0" w:space="0" w:color="auto"/>
                        <w:bottom w:val="none" w:sz="0" w:space="0" w:color="auto"/>
                        <w:right w:val="none" w:sz="0" w:space="0" w:color="auto"/>
                      </w:divBdr>
                    </w:div>
                  </w:divsChild>
                </w:div>
                <w:div w:id="1512375357">
                  <w:marLeft w:val="0"/>
                  <w:marRight w:val="0"/>
                  <w:marTop w:val="0"/>
                  <w:marBottom w:val="0"/>
                  <w:divBdr>
                    <w:top w:val="none" w:sz="0" w:space="0" w:color="auto"/>
                    <w:left w:val="none" w:sz="0" w:space="0" w:color="auto"/>
                    <w:bottom w:val="none" w:sz="0" w:space="0" w:color="auto"/>
                    <w:right w:val="none" w:sz="0" w:space="0" w:color="auto"/>
                  </w:divBdr>
                  <w:divsChild>
                    <w:div w:id="838741187">
                      <w:marLeft w:val="0"/>
                      <w:marRight w:val="0"/>
                      <w:marTop w:val="0"/>
                      <w:marBottom w:val="0"/>
                      <w:divBdr>
                        <w:top w:val="none" w:sz="0" w:space="0" w:color="auto"/>
                        <w:left w:val="none" w:sz="0" w:space="0" w:color="auto"/>
                        <w:bottom w:val="none" w:sz="0" w:space="0" w:color="auto"/>
                        <w:right w:val="none" w:sz="0" w:space="0" w:color="auto"/>
                      </w:divBdr>
                    </w:div>
                  </w:divsChild>
                </w:div>
                <w:div w:id="1541623359">
                  <w:marLeft w:val="0"/>
                  <w:marRight w:val="0"/>
                  <w:marTop w:val="0"/>
                  <w:marBottom w:val="0"/>
                  <w:divBdr>
                    <w:top w:val="none" w:sz="0" w:space="0" w:color="auto"/>
                    <w:left w:val="none" w:sz="0" w:space="0" w:color="auto"/>
                    <w:bottom w:val="none" w:sz="0" w:space="0" w:color="auto"/>
                    <w:right w:val="none" w:sz="0" w:space="0" w:color="auto"/>
                  </w:divBdr>
                  <w:divsChild>
                    <w:div w:id="1664507126">
                      <w:marLeft w:val="0"/>
                      <w:marRight w:val="0"/>
                      <w:marTop w:val="0"/>
                      <w:marBottom w:val="0"/>
                      <w:divBdr>
                        <w:top w:val="none" w:sz="0" w:space="0" w:color="auto"/>
                        <w:left w:val="none" w:sz="0" w:space="0" w:color="auto"/>
                        <w:bottom w:val="none" w:sz="0" w:space="0" w:color="auto"/>
                        <w:right w:val="none" w:sz="0" w:space="0" w:color="auto"/>
                      </w:divBdr>
                    </w:div>
                  </w:divsChild>
                </w:div>
                <w:div w:id="1617299070">
                  <w:marLeft w:val="0"/>
                  <w:marRight w:val="0"/>
                  <w:marTop w:val="0"/>
                  <w:marBottom w:val="0"/>
                  <w:divBdr>
                    <w:top w:val="none" w:sz="0" w:space="0" w:color="auto"/>
                    <w:left w:val="none" w:sz="0" w:space="0" w:color="auto"/>
                    <w:bottom w:val="none" w:sz="0" w:space="0" w:color="auto"/>
                    <w:right w:val="none" w:sz="0" w:space="0" w:color="auto"/>
                  </w:divBdr>
                  <w:divsChild>
                    <w:div w:id="186674913">
                      <w:marLeft w:val="0"/>
                      <w:marRight w:val="0"/>
                      <w:marTop w:val="0"/>
                      <w:marBottom w:val="0"/>
                      <w:divBdr>
                        <w:top w:val="none" w:sz="0" w:space="0" w:color="auto"/>
                        <w:left w:val="none" w:sz="0" w:space="0" w:color="auto"/>
                        <w:bottom w:val="none" w:sz="0" w:space="0" w:color="auto"/>
                        <w:right w:val="none" w:sz="0" w:space="0" w:color="auto"/>
                      </w:divBdr>
                    </w:div>
                  </w:divsChild>
                </w:div>
                <w:div w:id="1621692657">
                  <w:marLeft w:val="0"/>
                  <w:marRight w:val="0"/>
                  <w:marTop w:val="0"/>
                  <w:marBottom w:val="0"/>
                  <w:divBdr>
                    <w:top w:val="none" w:sz="0" w:space="0" w:color="auto"/>
                    <w:left w:val="none" w:sz="0" w:space="0" w:color="auto"/>
                    <w:bottom w:val="none" w:sz="0" w:space="0" w:color="auto"/>
                    <w:right w:val="none" w:sz="0" w:space="0" w:color="auto"/>
                  </w:divBdr>
                  <w:divsChild>
                    <w:div w:id="169105413">
                      <w:marLeft w:val="0"/>
                      <w:marRight w:val="0"/>
                      <w:marTop w:val="0"/>
                      <w:marBottom w:val="0"/>
                      <w:divBdr>
                        <w:top w:val="none" w:sz="0" w:space="0" w:color="auto"/>
                        <w:left w:val="none" w:sz="0" w:space="0" w:color="auto"/>
                        <w:bottom w:val="none" w:sz="0" w:space="0" w:color="auto"/>
                        <w:right w:val="none" w:sz="0" w:space="0" w:color="auto"/>
                      </w:divBdr>
                    </w:div>
                  </w:divsChild>
                </w:div>
                <w:div w:id="1636638228">
                  <w:marLeft w:val="0"/>
                  <w:marRight w:val="0"/>
                  <w:marTop w:val="0"/>
                  <w:marBottom w:val="0"/>
                  <w:divBdr>
                    <w:top w:val="none" w:sz="0" w:space="0" w:color="auto"/>
                    <w:left w:val="none" w:sz="0" w:space="0" w:color="auto"/>
                    <w:bottom w:val="none" w:sz="0" w:space="0" w:color="auto"/>
                    <w:right w:val="none" w:sz="0" w:space="0" w:color="auto"/>
                  </w:divBdr>
                  <w:divsChild>
                    <w:div w:id="780686494">
                      <w:marLeft w:val="0"/>
                      <w:marRight w:val="0"/>
                      <w:marTop w:val="0"/>
                      <w:marBottom w:val="0"/>
                      <w:divBdr>
                        <w:top w:val="none" w:sz="0" w:space="0" w:color="auto"/>
                        <w:left w:val="none" w:sz="0" w:space="0" w:color="auto"/>
                        <w:bottom w:val="none" w:sz="0" w:space="0" w:color="auto"/>
                        <w:right w:val="none" w:sz="0" w:space="0" w:color="auto"/>
                      </w:divBdr>
                    </w:div>
                  </w:divsChild>
                </w:div>
                <w:div w:id="1675180654">
                  <w:marLeft w:val="0"/>
                  <w:marRight w:val="0"/>
                  <w:marTop w:val="0"/>
                  <w:marBottom w:val="0"/>
                  <w:divBdr>
                    <w:top w:val="none" w:sz="0" w:space="0" w:color="auto"/>
                    <w:left w:val="none" w:sz="0" w:space="0" w:color="auto"/>
                    <w:bottom w:val="none" w:sz="0" w:space="0" w:color="auto"/>
                    <w:right w:val="none" w:sz="0" w:space="0" w:color="auto"/>
                  </w:divBdr>
                  <w:divsChild>
                    <w:div w:id="639072257">
                      <w:marLeft w:val="0"/>
                      <w:marRight w:val="0"/>
                      <w:marTop w:val="0"/>
                      <w:marBottom w:val="0"/>
                      <w:divBdr>
                        <w:top w:val="none" w:sz="0" w:space="0" w:color="auto"/>
                        <w:left w:val="none" w:sz="0" w:space="0" w:color="auto"/>
                        <w:bottom w:val="none" w:sz="0" w:space="0" w:color="auto"/>
                        <w:right w:val="none" w:sz="0" w:space="0" w:color="auto"/>
                      </w:divBdr>
                    </w:div>
                  </w:divsChild>
                </w:div>
                <w:div w:id="1705791296">
                  <w:marLeft w:val="0"/>
                  <w:marRight w:val="0"/>
                  <w:marTop w:val="0"/>
                  <w:marBottom w:val="0"/>
                  <w:divBdr>
                    <w:top w:val="none" w:sz="0" w:space="0" w:color="auto"/>
                    <w:left w:val="none" w:sz="0" w:space="0" w:color="auto"/>
                    <w:bottom w:val="none" w:sz="0" w:space="0" w:color="auto"/>
                    <w:right w:val="none" w:sz="0" w:space="0" w:color="auto"/>
                  </w:divBdr>
                  <w:divsChild>
                    <w:div w:id="2032561949">
                      <w:marLeft w:val="0"/>
                      <w:marRight w:val="0"/>
                      <w:marTop w:val="0"/>
                      <w:marBottom w:val="0"/>
                      <w:divBdr>
                        <w:top w:val="none" w:sz="0" w:space="0" w:color="auto"/>
                        <w:left w:val="none" w:sz="0" w:space="0" w:color="auto"/>
                        <w:bottom w:val="none" w:sz="0" w:space="0" w:color="auto"/>
                        <w:right w:val="none" w:sz="0" w:space="0" w:color="auto"/>
                      </w:divBdr>
                    </w:div>
                  </w:divsChild>
                </w:div>
                <w:div w:id="1726224510">
                  <w:marLeft w:val="0"/>
                  <w:marRight w:val="0"/>
                  <w:marTop w:val="0"/>
                  <w:marBottom w:val="0"/>
                  <w:divBdr>
                    <w:top w:val="none" w:sz="0" w:space="0" w:color="auto"/>
                    <w:left w:val="none" w:sz="0" w:space="0" w:color="auto"/>
                    <w:bottom w:val="none" w:sz="0" w:space="0" w:color="auto"/>
                    <w:right w:val="none" w:sz="0" w:space="0" w:color="auto"/>
                  </w:divBdr>
                  <w:divsChild>
                    <w:div w:id="2059549346">
                      <w:marLeft w:val="0"/>
                      <w:marRight w:val="0"/>
                      <w:marTop w:val="0"/>
                      <w:marBottom w:val="0"/>
                      <w:divBdr>
                        <w:top w:val="none" w:sz="0" w:space="0" w:color="auto"/>
                        <w:left w:val="none" w:sz="0" w:space="0" w:color="auto"/>
                        <w:bottom w:val="none" w:sz="0" w:space="0" w:color="auto"/>
                        <w:right w:val="none" w:sz="0" w:space="0" w:color="auto"/>
                      </w:divBdr>
                    </w:div>
                  </w:divsChild>
                </w:div>
                <w:div w:id="1778332720">
                  <w:marLeft w:val="0"/>
                  <w:marRight w:val="0"/>
                  <w:marTop w:val="0"/>
                  <w:marBottom w:val="0"/>
                  <w:divBdr>
                    <w:top w:val="none" w:sz="0" w:space="0" w:color="auto"/>
                    <w:left w:val="none" w:sz="0" w:space="0" w:color="auto"/>
                    <w:bottom w:val="none" w:sz="0" w:space="0" w:color="auto"/>
                    <w:right w:val="none" w:sz="0" w:space="0" w:color="auto"/>
                  </w:divBdr>
                  <w:divsChild>
                    <w:div w:id="121972111">
                      <w:marLeft w:val="0"/>
                      <w:marRight w:val="0"/>
                      <w:marTop w:val="0"/>
                      <w:marBottom w:val="0"/>
                      <w:divBdr>
                        <w:top w:val="none" w:sz="0" w:space="0" w:color="auto"/>
                        <w:left w:val="none" w:sz="0" w:space="0" w:color="auto"/>
                        <w:bottom w:val="none" w:sz="0" w:space="0" w:color="auto"/>
                        <w:right w:val="none" w:sz="0" w:space="0" w:color="auto"/>
                      </w:divBdr>
                    </w:div>
                  </w:divsChild>
                </w:div>
                <w:div w:id="1799646649">
                  <w:marLeft w:val="0"/>
                  <w:marRight w:val="0"/>
                  <w:marTop w:val="0"/>
                  <w:marBottom w:val="0"/>
                  <w:divBdr>
                    <w:top w:val="none" w:sz="0" w:space="0" w:color="auto"/>
                    <w:left w:val="none" w:sz="0" w:space="0" w:color="auto"/>
                    <w:bottom w:val="none" w:sz="0" w:space="0" w:color="auto"/>
                    <w:right w:val="none" w:sz="0" w:space="0" w:color="auto"/>
                  </w:divBdr>
                  <w:divsChild>
                    <w:div w:id="1753966262">
                      <w:marLeft w:val="0"/>
                      <w:marRight w:val="0"/>
                      <w:marTop w:val="0"/>
                      <w:marBottom w:val="0"/>
                      <w:divBdr>
                        <w:top w:val="none" w:sz="0" w:space="0" w:color="auto"/>
                        <w:left w:val="none" w:sz="0" w:space="0" w:color="auto"/>
                        <w:bottom w:val="none" w:sz="0" w:space="0" w:color="auto"/>
                        <w:right w:val="none" w:sz="0" w:space="0" w:color="auto"/>
                      </w:divBdr>
                    </w:div>
                  </w:divsChild>
                </w:div>
                <w:div w:id="1819615850">
                  <w:marLeft w:val="0"/>
                  <w:marRight w:val="0"/>
                  <w:marTop w:val="0"/>
                  <w:marBottom w:val="0"/>
                  <w:divBdr>
                    <w:top w:val="none" w:sz="0" w:space="0" w:color="auto"/>
                    <w:left w:val="none" w:sz="0" w:space="0" w:color="auto"/>
                    <w:bottom w:val="none" w:sz="0" w:space="0" w:color="auto"/>
                    <w:right w:val="none" w:sz="0" w:space="0" w:color="auto"/>
                  </w:divBdr>
                  <w:divsChild>
                    <w:div w:id="1742557422">
                      <w:marLeft w:val="0"/>
                      <w:marRight w:val="0"/>
                      <w:marTop w:val="0"/>
                      <w:marBottom w:val="0"/>
                      <w:divBdr>
                        <w:top w:val="none" w:sz="0" w:space="0" w:color="auto"/>
                        <w:left w:val="none" w:sz="0" w:space="0" w:color="auto"/>
                        <w:bottom w:val="none" w:sz="0" w:space="0" w:color="auto"/>
                        <w:right w:val="none" w:sz="0" w:space="0" w:color="auto"/>
                      </w:divBdr>
                    </w:div>
                  </w:divsChild>
                </w:div>
                <w:div w:id="1827282006">
                  <w:marLeft w:val="0"/>
                  <w:marRight w:val="0"/>
                  <w:marTop w:val="0"/>
                  <w:marBottom w:val="0"/>
                  <w:divBdr>
                    <w:top w:val="none" w:sz="0" w:space="0" w:color="auto"/>
                    <w:left w:val="none" w:sz="0" w:space="0" w:color="auto"/>
                    <w:bottom w:val="none" w:sz="0" w:space="0" w:color="auto"/>
                    <w:right w:val="none" w:sz="0" w:space="0" w:color="auto"/>
                  </w:divBdr>
                  <w:divsChild>
                    <w:div w:id="1535385568">
                      <w:marLeft w:val="0"/>
                      <w:marRight w:val="0"/>
                      <w:marTop w:val="0"/>
                      <w:marBottom w:val="0"/>
                      <w:divBdr>
                        <w:top w:val="none" w:sz="0" w:space="0" w:color="auto"/>
                        <w:left w:val="none" w:sz="0" w:space="0" w:color="auto"/>
                        <w:bottom w:val="none" w:sz="0" w:space="0" w:color="auto"/>
                        <w:right w:val="none" w:sz="0" w:space="0" w:color="auto"/>
                      </w:divBdr>
                    </w:div>
                  </w:divsChild>
                </w:div>
                <w:div w:id="1827434283">
                  <w:marLeft w:val="0"/>
                  <w:marRight w:val="0"/>
                  <w:marTop w:val="0"/>
                  <w:marBottom w:val="0"/>
                  <w:divBdr>
                    <w:top w:val="none" w:sz="0" w:space="0" w:color="auto"/>
                    <w:left w:val="none" w:sz="0" w:space="0" w:color="auto"/>
                    <w:bottom w:val="none" w:sz="0" w:space="0" w:color="auto"/>
                    <w:right w:val="none" w:sz="0" w:space="0" w:color="auto"/>
                  </w:divBdr>
                  <w:divsChild>
                    <w:div w:id="657852926">
                      <w:marLeft w:val="0"/>
                      <w:marRight w:val="0"/>
                      <w:marTop w:val="0"/>
                      <w:marBottom w:val="0"/>
                      <w:divBdr>
                        <w:top w:val="none" w:sz="0" w:space="0" w:color="auto"/>
                        <w:left w:val="none" w:sz="0" w:space="0" w:color="auto"/>
                        <w:bottom w:val="none" w:sz="0" w:space="0" w:color="auto"/>
                        <w:right w:val="none" w:sz="0" w:space="0" w:color="auto"/>
                      </w:divBdr>
                    </w:div>
                  </w:divsChild>
                </w:div>
                <w:div w:id="1840998768">
                  <w:marLeft w:val="0"/>
                  <w:marRight w:val="0"/>
                  <w:marTop w:val="0"/>
                  <w:marBottom w:val="0"/>
                  <w:divBdr>
                    <w:top w:val="none" w:sz="0" w:space="0" w:color="auto"/>
                    <w:left w:val="none" w:sz="0" w:space="0" w:color="auto"/>
                    <w:bottom w:val="none" w:sz="0" w:space="0" w:color="auto"/>
                    <w:right w:val="none" w:sz="0" w:space="0" w:color="auto"/>
                  </w:divBdr>
                  <w:divsChild>
                    <w:div w:id="504631867">
                      <w:marLeft w:val="0"/>
                      <w:marRight w:val="0"/>
                      <w:marTop w:val="0"/>
                      <w:marBottom w:val="0"/>
                      <w:divBdr>
                        <w:top w:val="none" w:sz="0" w:space="0" w:color="auto"/>
                        <w:left w:val="none" w:sz="0" w:space="0" w:color="auto"/>
                        <w:bottom w:val="none" w:sz="0" w:space="0" w:color="auto"/>
                        <w:right w:val="none" w:sz="0" w:space="0" w:color="auto"/>
                      </w:divBdr>
                    </w:div>
                  </w:divsChild>
                </w:div>
                <w:div w:id="1849832688">
                  <w:marLeft w:val="0"/>
                  <w:marRight w:val="0"/>
                  <w:marTop w:val="0"/>
                  <w:marBottom w:val="0"/>
                  <w:divBdr>
                    <w:top w:val="none" w:sz="0" w:space="0" w:color="auto"/>
                    <w:left w:val="none" w:sz="0" w:space="0" w:color="auto"/>
                    <w:bottom w:val="none" w:sz="0" w:space="0" w:color="auto"/>
                    <w:right w:val="none" w:sz="0" w:space="0" w:color="auto"/>
                  </w:divBdr>
                  <w:divsChild>
                    <w:div w:id="259797475">
                      <w:marLeft w:val="0"/>
                      <w:marRight w:val="0"/>
                      <w:marTop w:val="0"/>
                      <w:marBottom w:val="0"/>
                      <w:divBdr>
                        <w:top w:val="none" w:sz="0" w:space="0" w:color="auto"/>
                        <w:left w:val="none" w:sz="0" w:space="0" w:color="auto"/>
                        <w:bottom w:val="none" w:sz="0" w:space="0" w:color="auto"/>
                        <w:right w:val="none" w:sz="0" w:space="0" w:color="auto"/>
                      </w:divBdr>
                    </w:div>
                  </w:divsChild>
                </w:div>
                <w:div w:id="1850606567">
                  <w:marLeft w:val="0"/>
                  <w:marRight w:val="0"/>
                  <w:marTop w:val="0"/>
                  <w:marBottom w:val="0"/>
                  <w:divBdr>
                    <w:top w:val="none" w:sz="0" w:space="0" w:color="auto"/>
                    <w:left w:val="none" w:sz="0" w:space="0" w:color="auto"/>
                    <w:bottom w:val="none" w:sz="0" w:space="0" w:color="auto"/>
                    <w:right w:val="none" w:sz="0" w:space="0" w:color="auto"/>
                  </w:divBdr>
                  <w:divsChild>
                    <w:div w:id="1078944090">
                      <w:marLeft w:val="0"/>
                      <w:marRight w:val="0"/>
                      <w:marTop w:val="0"/>
                      <w:marBottom w:val="0"/>
                      <w:divBdr>
                        <w:top w:val="none" w:sz="0" w:space="0" w:color="auto"/>
                        <w:left w:val="none" w:sz="0" w:space="0" w:color="auto"/>
                        <w:bottom w:val="none" w:sz="0" w:space="0" w:color="auto"/>
                        <w:right w:val="none" w:sz="0" w:space="0" w:color="auto"/>
                      </w:divBdr>
                    </w:div>
                  </w:divsChild>
                </w:div>
                <w:div w:id="1893343609">
                  <w:marLeft w:val="0"/>
                  <w:marRight w:val="0"/>
                  <w:marTop w:val="0"/>
                  <w:marBottom w:val="0"/>
                  <w:divBdr>
                    <w:top w:val="none" w:sz="0" w:space="0" w:color="auto"/>
                    <w:left w:val="none" w:sz="0" w:space="0" w:color="auto"/>
                    <w:bottom w:val="none" w:sz="0" w:space="0" w:color="auto"/>
                    <w:right w:val="none" w:sz="0" w:space="0" w:color="auto"/>
                  </w:divBdr>
                  <w:divsChild>
                    <w:div w:id="1978290581">
                      <w:marLeft w:val="0"/>
                      <w:marRight w:val="0"/>
                      <w:marTop w:val="0"/>
                      <w:marBottom w:val="0"/>
                      <w:divBdr>
                        <w:top w:val="none" w:sz="0" w:space="0" w:color="auto"/>
                        <w:left w:val="none" w:sz="0" w:space="0" w:color="auto"/>
                        <w:bottom w:val="none" w:sz="0" w:space="0" w:color="auto"/>
                        <w:right w:val="none" w:sz="0" w:space="0" w:color="auto"/>
                      </w:divBdr>
                    </w:div>
                  </w:divsChild>
                </w:div>
                <w:div w:id="1913001419">
                  <w:marLeft w:val="0"/>
                  <w:marRight w:val="0"/>
                  <w:marTop w:val="0"/>
                  <w:marBottom w:val="0"/>
                  <w:divBdr>
                    <w:top w:val="none" w:sz="0" w:space="0" w:color="auto"/>
                    <w:left w:val="none" w:sz="0" w:space="0" w:color="auto"/>
                    <w:bottom w:val="none" w:sz="0" w:space="0" w:color="auto"/>
                    <w:right w:val="none" w:sz="0" w:space="0" w:color="auto"/>
                  </w:divBdr>
                  <w:divsChild>
                    <w:div w:id="245456101">
                      <w:marLeft w:val="0"/>
                      <w:marRight w:val="0"/>
                      <w:marTop w:val="0"/>
                      <w:marBottom w:val="0"/>
                      <w:divBdr>
                        <w:top w:val="none" w:sz="0" w:space="0" w:color="auto"/>
                        <w:left w:val="none" w:sz="0" w:space="0" w:color="auto"/>
                        <w:bottom w:val="none" w:sz="0" w:space="0" w:color="auto"/>
                        <w:right w:val="none" w:sz="0" w:space="0" w:color="auto"/>
                      </w:divBdr>
                    </w:div>
                  </w:divsChild>
                </w:div>
                <w:div w:id="1931543333">
                  <w:marLeft w:val="0"/>
                  <w:marRight w:val="0"/>
                  <w:marTop w:val="0"/>
                  <w:marBottom w:val="0"/>
                  <w:divBdr>
                    <w:top w:val="none" w:sz="0" w:space="0" w:color="auto"/>
                    <w:left w:val="none" w:sz="0" w:space="0" w:color="auto"/>
                    <w:bottom w:val="none" w:sz="0" w:space="0" w:color="auto"/>
                    <w:right w:val="none" w:sz="0" w:space="0" w:color="auto"/>
                  </w:divBdr>
                  <w:divsChild>
                    <w:div w:id="397097437">
                      <w:marLeft w:val="0"/>
                      <w:marRight w:val="0"/>
                      <w:marTop w:val="0"/>
                      <w:marBottom w:val="0"/>
                      <w:divBdr>
                        <w:top w:val="none" w:sz="0" w:space="0" w:color="auto"/>
                        <w:left w:val="none" w:sz="0" w:space="0" w:color="auto"/>
                        <w:bottom w:val="none" w:sz="0" w:space="0" w:color="auto"/>
                        <w:right w:val="none" w:sz="0" w:space="0" w:color="auto"/>
                      </w:divBdr>
                    </w:div>
                  </w:divsChild>
                </w:div>
                <w:div w:id="1938753736">
                  <w:marLeft w:val="0"/>
                  <w:marRight w:val="0"/>
                  <w:marTop w:val="0"/>
                  <w:marBottom w:val="0"/>
                  <w:divBdr>
                    <w:top w:val="none" w:sz="0" w:space="0" w:color="auto"/>
                    <w:left w:val="none" w:sz="0" w:space="0" w:color="auto"/>
                    <w:bottom w:val="none" w:sz="0" w:space="0" w:color="auto"/>
                    <w:right w:val="none" w:sz="0" w:space="0" w:color="auto"/>
                  </w:divBdr>
                  <w:divsChild>
                    <w:div w:id="1909143962">
                      <w:marLeft w:val="0"/>
                      <w:marRight w:val="0"/>
                      <w:marTop w:val="0"/>
                      <w:marBottom w:val="0"/>
                      <w:divBdr>
                        <w:top w:val="none" w:sz="0" w:space="0" w:color="auto"/>
                        <w:left w:val="none" w:sz="0" w:space="0" w:color="auto"/>
                        <w:bottom w:val="none" w:sz="0" w:space="0" w:color="auto"/>
                        <w:right w:val="none" w:sz="0" w:space="0" w:color="auto"/>
                      </w:divBdr>
                    </w:div>
                  </w:divsChild>
                </w:div>
                <w:div w:id="1964849642">
                  <w:marLeft w:val="0"/>
                  <w:marRight w:val="0"/>
                  <w:marTop w:val="0"/>
                  <w:marBottom w:val="0"/>
                  <w:divBdr>
                    <w:top w:val="none" w:sz="0" w:space="0" w:color="auto"/>
                    <w:left w:val="none" w:sz="0" w:space="0" w:color="auto"/>
                    <w:bottom w:val="none" w:sz="0" w:space="0" w:color="auto"/>
                    <w:right w:val="none" w:sz="0" w:space="0" w:color="auto"/>
                  </w:divBdr>
                  <w:divsChild>
                    <w:div w:id="2631669">
                      <w:marLeft w:val="0"/>
                      <w:marRight w:val="0"/>
                      <w:marTop w:val="0"/>
                      <w:marBottom w:val="0"/>
                      <w:divBdr>
                        <w:top w:val="none" w:sz="0" w:space="0" w:color="auto"/>
                        <w:left w:val="none" w:sz="0" w:space="0" w:color="auto"/>
                        <w:bottom w:val="none" w:sz="0" w:space="0" w:color="auto"/>
                        <w:right w:val="none" w:sz="0" w:space="0" w:color="auto"/>
                      </w:divBdr>
                    </w:div>
                  </w:divsChild>
                </w:div>
                <w:div w:id="1976569586">
                  <w:marLeft w:val="0"/>
                  <w:marRight w:val="0"/>
                  <w:marTop w:val="0"/>
                  <w:marBottom w:val="0"/>
                  <w:divBdr>
                    <w:top w:val="none" w:sz="0" w:space="0" w:color="auto"/>
                    <w:left w:val="none" w:sz="0" w:space="0" w:color="auto"/>
                    <w:bottom w:val="none" w:sz="0" w:space="0" w:color="auto"/>
                    <w:right w:val="none" w:sz="0" w:space="0" w:color="auto"/>
                  </w:divBdr>
                  <w:divsChild>
                    <w:div w:id="517043428">
                      <w:marLeft w:val="0"/>
                      <w:marRight w:val="0"/>
                      <w:marTop w:val="0"/>
                      <w:marBottom w:val="0"/>
                      <w:divBdr>
                        <w:top w:val="none" w:sz="0" w:space="0" w:color="auto"/>
                        <w:left w:val="none" w:sz="0" w:space="0" w:color="auto"/>
                        <w:bottom w:val="none" w:sz="0" w:space="0" w:color="auto"/>
                        <w:right w:val="none" w:sz="0" w:space="0" w:color="auto"/>
                      </w:divBdr>
                    </w:div>
                  </w:divsChild>
                </w:div>
                <w:div w:id="2003002688">
                  <w:marLeft w:val="0"/>
                  <w:marRight w:val="0"/>
                  <w:marTop w:val="0"/>
                  <w:marBottom w:val="0"/>
                  <w:divBdr>
                    <w:top w:val="none" w:sz="0" w:space="0" w:color="auto"/>
                    <w:left w:val="none" w:sz="0" w:space="0" w:color="auto"/>
                    <w:bottom w:val="none" w:sz="0" w:space="0" w:color="auto"/>
                    <w:right w:val="none" w:sz="0" w:space="0" w:color="auto"/>
                  </w:divBdr>
                  <w:divsChild>
                    <w:div w:id="321273470">
                      <w:marLeft w:val="0"/>
                      <w:marRight w:val="0"/>
                      <w:marTop w:val="0"/>
                      <w:marBottom w:val="0"/>
                      <w:divBdr>
                        <w:top w:val="none" w:sz="0" w:space="0" w:color="auto"/>
                        <w:left w:val="none" w:sz="0" w:space="0" w:color="auto"/>
                        <w:bottom w:val="none" w:sz="0" w:space="0" w:color="auto"/>
                        <w:right w:val="none" w:sz="0" w:space="0" w:color="auto"/>
                      </w:divBdr>
                    </w:div>
                  </w:divsChild>
                </w:div>
                <w:div w:id="2045597446">
                  <w:marLeft w:val="0"/>
                  <w:marRight w:val="0"/>
                  <w:marTop w:val="0"/>
                  <w:marBottom w:val="0"/>
                  <w:divBdr>
                    <w:top w:val="none" w:sz="0" w:space="0" w:color="auto"/>
                    <w:left w:val="none" w:sz="0" w:space="0" w:color="auto"/>
                    <w:bottom w:val="none" w:sz="0" w:space="0" w:color="auto"/>
                    <w:right w:val="none" w:sz="0" w:space="0" w:color="auto"/>
                  </w:divBdr>
                  <w:divsChild>
                    <w:div w:id="1165243842">
                      <w:marLeft w:val="0"/>
                      <w:marRight w:val="0"/>
                      <w:marTop w:val="0"/>
                      <w:marBottom w:val="0"/>
                      <w:divBdr>
                        <w:top w:val="none" w:sz="0" w:space="0" w:color="auto"/>
                        <w:left w:val="none" w:sz="0" w:space="0" w:color="auto"/>
                        <w:bottom w:val="none" w:sz="0" w:space="0" w:color="auto"/>
                        <w:right w:val="none" w:sz="0" w:space="0" w:color="auto"/>
                      </w:divBdr>
                    </w:div>
                  </w:divsChild>
                </w:div>
                <w:div w:id="2061978457">
                  <w:marLeft w:val="0"/>
                  <w:marRight w:val="0"/>
                  <w:marTop w:val="0"/>
                  <w:marBottom w:val="0"/>
                  <w:divBdr>
                    <w:top w:val="none" w:sz="0" w:space="0" w:color="auto"/>
                    <w:left w:val="none" w:sz="0" w:space="0" w:color="auto"/>
                    <w:bottom w:val="none" w:sz="0" w:space="0" w:color="auto"/>
                    <w:right w:val="none" w:sz="0" w:space="0" w:color="auto"/>
                  </w:divBdr>
                  <w:divsChild>
                    <w:div w:id="2075621291">
                      <w:marLeft w:val="0"/>
                      <w:marRight w:val="0"/>
                      <w:marTop w:val="0"/>
                      <w:marBottom w:val="0"/>
                      <w:divBdr>
                        <w:top w:val="none" w:sz="0" w:space="0" w:color="auto"/>
                        <w:left w:val="none" w:sz="0" w:space="0" w:color="auto"/>
                        <w:bottom w:val="none" w:sz="0" w:space="0" w:color="auto"/>
                        <w:right w:val="none" w:sz="0" w:space="0" w:color="auto"/>
                      </w:divBdr>
                    </w:div>
                  </w:divsChild>
                </w:div>
                <w:div w:id="2091535490">
                  <w:marLeft w:val="0"/>
                  <w:marRight w:val="0"/>
                  <w:marTop w:val="0"/>
                  <w:marBottom w:val="0"/>
                  <w:divBdr>
                    <w:top w:val="none" w:sz="0" w:space="0" w:color="auto"/>
                    <w:left w:val="none" w:sz="0" w:space="0" w:color="auto"/>
                    <w:bottom w:val="none" w:sz="0" w:space="0" w:color="auto"/>
                    <w:right w:val="none" w:sz="0" w:space="0" w:color="auto"/>
                  </w:divBdr>
                  <w:divsChild>
                    <w:div w:id="941184620">
                      <w:marLeft w:val="0"/>
                      <w:marRight w:val="0"/>
                      <w:marTop w:val="0"/>
                      <w:marBottom w:val="0"/>
                      <w:divBdr>
                        <w:top w:val="none" w:sz="0" w:space="0" w:color="auto"/>
                        <w:left w:val="none" w:sz="0" w:space="0" w:color="auto"/>
                        <w:bottom w:val="none" w:sz="0" w:space="0" w:color="auto"/>
                        <w:right w:val="none" w:sz="0" w:space="0" w:color="auto"/>
                      </w:divBdr>
                    </w:div>
                  </w:divsChild>
                </w:div>
                <w:div w:id="2092462098">
                  <w:marLeft w:val="0"/>
                  <w:marRight w:val="0"/>
                  <w:marTop w:val="0"/>
                  <w:marBottom w:val="0"/>
                  <w:divBdr>
                    <w:top w:val="none" w:sz="0" w:space="0" w:color="auto"/>
                    <w:left w:val="none" w:sz="0" w:space="0" w:color="auto"/>
                    <w:bottom w:val="none" w:sz="0" w:space="0" w:color="auto"/>
                    <w:right w:val="none" w:sz="0" w:space="0" w:color="auto"/>
                  </w:divBdr>
                  <w:divsChild>
                    <w:div w:id="348026992">
                      <w:marLeft w:val="0"/>
                      <w:marRight w:val="0"/>
                      <w:marTop w:val="0"/>
                      <w:marBottom w:val="0"/>
                      <w:divBdr>
                        <w:top w:val="none" w:sz="0" w:space="0" w:color="auto"/>
                        <w:left w:val="none" w:sz="0" w:space="0" w:color="auto"/>
                        <w:bottom w:val="none" w:sz="0" w:space="0" w:color="auto"/>
                        <w:right w:val="none" w:sz="0" w:space="0" w:color="auto"/>
                      </w:divBdr>
                    </w:div>
                  </w:divsChild>
                </w:div>
                <w:div w:id="2133547061">
                  <w:marLeft w:val="0"/>
                  <w:marRight w:val="0"/>
                  <w:marTop w:val="0"/>
                  <w:marBottom w:val="0"/>
                  <w:divBdr>
                    <w:top w:val="none" w:sz="0" w:space="0" w:color="auto"/>
                    <w:left w:val="none" w:sz="0" w:space="0" w:color="auto"/>
                    <w:bottom w:val="none" w:sz="0" w:space="0" w:color="auto"/>
                    <w:right w:val="none" w:sz="0" w:space="0" w:color="auto"/>
                  </w:divBdr>
                  <w:divsChild>
                    <w:div w:id="1773353774">
                      <w:marLeft w:val="0"/>
                      <w:marRight w:val="0"/>
                      <w:marTop w:val="0"/>
                      <w:marBottom w:val="0"/>
                      <w:divBdr>
                        <w:top w:val="none" w:sz="0" w:space="0" w:color="auto"/>
                        <w:left w:val="none" w:sz="0" w:space="0" w:color="auto"/>
                        <w:bottom w:val="none" w:sz="0" w:space="0" w:color="auto"/>
                        <w:right w:val="none" w:sz="0" w:space="0" w:color="auto"/>
                      </w:divBdr>
                    </w:div>
                  </w:divsChild>
                </w:div>
                <w:div w:id="2142114689">
                  <w:marLeft w:val="0"/>
                  <w:marRight w:val="0"/>
                  <w:marTop w:val="0"/>
                  <w:marBottom w:val="0"/>
                  <w:divBdr>
                    <w:top w:val="none" w:sz="0" w:space="0" w:color="auto"/>
                    <w:left w:val="none" w:sz="0" w:space="0" w:color="auto"/>
                    <w:bottom w:val="none" w:sz="0" w:space="0" w:color="auto"/>
                    <w:right w:val="none" w:sz="0" w:space="0" w:color="auto"/>
                  </w:divBdr>
                  <w:divsChild>
                    <w:div w:id="1056011926">
                      <w:marLeft w:val="0"/>
                      <w:marRight w:val="0"/>
                      <w:marTop w:val="0"/>
                      <w:marBottom w:val="0"/>
                      <w:divBdr>
                        <w:top w:val="none" w:sz="0" w:space="0" w:color="auto"/>
                        <w:left w:val="none" w:sz="0" w:space="0" w:color="auto"/>
                        <w:bottom w:val="none" w:sz="0" w:space="0" w:color="auto"/>
                        <w:right w:val="none" w:sz="0" w:space="0" w:color="auto"/>
                      </w:divBdr>
                    </w:div>
                  </w:divsChild>
                </w:div>
                <w:div w:id="2142266135">
                  <w:marLeft w:val="0"/>
                  <w:marRight w:val="0"/>
                  <w:marTop w:val="0"/>
                  <w:marBottom w:val="0"/>
                  <w:divBdr>
                    <w:top w:val="none" w:sz="0" w:space="0" w:color="auto"/>
                    <w:left w:val="none" w:sz="0" w:space="0" w:color="auto"/>
                    <w:bottom w:val="none" w:sz="0" w:space="0" w:color="auto"/>
                    <w:right w:val="none" w:sz="0" w:space="0" w:color="auto"/>
                  </w:divBdr>
                  <w:divsChild>
                    <w:div w:id="1334995321">
                      <w:marLeft w:val="0"/>
                      <w:marRight w:val="0"/>
                      <w:marTop w:val="0"/>
                      <w:marBottom w:val="0"/>
                      <w:divBdr>
                        <w:top w:val="none" w:sz="0" w:space="0" w:color="auto"/>
                        <w:left w:val="none" w:sz="0" w:space="0" w:color="auto"/>
                        <w:bottom w:val="none" w:sz="0" w:space="0" w:color="auto"/>
                        <w:right w:val="none" w:sz="0" w:space="0" w:color="auto"/>
                      </w:divBdr>
                    </w:div>
                  </w:divsChild>
                </w:div>
                <w:div w:id="2144150563">
                  <w:marLeft w:val="0"/>
                  <w:marRight w:val="0"/>
                  <w:marTop w:val="0"/>
                  <w:marBottom w:val="0"/>
                  <w:divBdr>
                    <w:top w:val="none" w:sz="0" w:space="0" w:color="auto"/>
                    <w:left w:val="none" w:sz="0" w:space="0" w:color="auto"/>
                    <w:bottom w:val="none" w:sz="0" w:space="0" w:color="auto"/>
                    <w:right w:val="none" w:sz="0" w:space="0" w:color="auto"/>
                  </w:divBdr>
                  <w:divsChild>
                    <w:div w:id="207862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284897">
          <w:marLeft w:val="0"/>
          <w:marRight w:val="0"/>
          <w:marTop w:val="0"/>
          <w:marBottom w:val="0"/>
          <w:divBdr>
            <w:top w:val="none" w:sz="0" w:space="0" w:color="auto"/>
            <w:left w:val="none" w:sz="0" w:space="0" w:color="auto"/>
            <w:bottom w:val="none" w:sz="0" w:space="0" w:color="auto"/>
            <w:right w:val="none" w:sz="0" w:space="0" w:color="auto"/>
          </w:divBdr>
        </w:div>
        <w:div w:id="1331061210">
          <w:marLeft w:val="0"/>
          <w:marRight w:val="0"/>
          <w:marTop w:val="0"/>
          <w:marBottom w:val="0"/>
          <w:divBdr>
            <w:top w:val="none" w:sz="0" w:space="0" w:color="auto"/>
            <w:left w:val="none" w:sz="0" w:space="0" w:color="auto"/>
            <w:bottom w:val="none" w:sz="0" w:space="0" w:color="auto"/>
            <w:right w:val="none" w:sz="0" w:space="0" w:color="auto"/>
          </w:divBdr>
        </w:div>
        <w:div w:id="1343315584">
          <w:marLeft w:val="0"/>
          <w:marRight w:val="0"/>
          <w:marTop w:val="0"/>
          <w:marBottom w:val="0"/>
          <w:divBdr>
            <w:top w:val="none" w:sz="0" w:space="0" w:color="auto"/>
            <w:left w:val="none" w:sz="0" w:space="0" w:color="auto"/>
            <w:bottom w:val="none" w:sz="0" w:space="0" w:color="auto"/>
            <w:right w:val="none" w:sz="0" w:space="0" w:color="auto"/>
          </w:divBdr>
        </w:div>
        <w:div w:id="1349330409">
          <w:marLeft w:val="0"/>
          <w:marRight w:val="0"/>
          <w:marTop w:val="0"/>
          <w:marBottom w:val="0"/>
          <w:divBdr>
            <w:top w:val="none" w:sz="0" w:space="0" w:color="auto"/>
            <w:left w:val="none" w:sz="0" w:space="0" w:color="auto"/>
            <w:bottom w:val="none" w:sz="0" w:space="0" w:color="auto"/>
            <w:right w:val="none" w:sz="0" w:space="0" w:color="auto"/>
          </w:divBdr>
        </w:div>
        <w:div w:id="1427533503">
          <w:marLeft w:val="0"/>
          <w:marRight w:val="0"/>
          <w:marTop w:val="0"/>
          <w:marBottom w:val="0"/>
          <w:divBdr>
            <w:top w:val="none" w:sz="0" w:space="0" w:color="auto"/>
            <w:left w:val="none" w:sz="0" w:space="0" w:color="auto"/>
            <w:bottom w:val="none" w:sz="0" w:space="0" w:color="auto"/>
            <w:right w:val="none" w:sz="0" w:space="0" w:color="auto"/>
          </w:divBdr>
          <w:divsChild>
            <w:div w:id="1634826217">
              <w:marLeft w:val="-75"/>
              <w:marRight w:val="0"/>
              <w:marTop w:val="30"/>
              <w:marBottom w:val="30"/>
              <w:divBdr>
                <w:top w:val="none" w:sz="0" w:space="0" w:color="auto"/>
                <w:left w:val="none" w:sz="0" w:space="0" w:color="auto"/>
                <w:bottom w:val="none" w:sz="0" w:space="0" w:color="auto"/>
                <w:right w:val="none" w:sz="0" w:space="0" w:color="auto"/>
              </w:divBdr>
              <w:divsChild>
                <w:div w:id="21127774">
                  <w:marLeft w:val="0"/>
                  <w:marRight w:val="0"/>
                  <w:marTop w:val="0"/>
                  <w:marBottom w:val="0"/>
                  <w:divBdr>
                    <w:top w:val="none" w:sz="0" w:space="0" w:color="auto"/>
                    <w:left w:val="none" w:sz="0" w:space="0" w:color="auto"/>
                    <w:bottom w:val="none" w:sz="0" w:space="0" w:color="auto"/>
                    <w:right w:val="none" w:sz="0" w:space="0" w:color="auto"/>
                  </w:divBdr>
                  <w:divsChild>
                    <w:div w:id="2013868749">
                      <w:marLeft w:val="0"/>
                      <w:marRight w:val="0"/>
                      <w:marTop w:val="0"/>
                      <w:marBottom w:val="0"/>
                      <w:divBdr>
                        <w:top w:val="none" w:sz="0" w:space="0" w:color="auto"/>
                        <w:left w:val="none" w:sz="0" w:space="0" w:color="auto"/>
                        <w:bottom w:val="none" w:sz="0" w:space="0" w:color="auto"/>
                        <w:right w:val="none" w:sz="0" w:space="0" w:color="auto"/>
                      </w:divBdr>
                    </w:div>
                  </w:divsChild>
                </w:div>
                <w:div w:id="114912092">
                  <w:marLeft w:val="0"/>
                  <w:marRight w:val="0"/>
                  <w:marTop w:val="0"/>
                  <w:marBottom w:val="0"/>
                  <w:divBdr>
                    <w:top w:val="none" w:sz="0" w:space="0" w:color="auto"/>
                    <w:left w:val="none" w:sz="0" w:space="0" w:color="auto"/>
                    <w:bottom w:val="none" w:sz="0" w:space="0" w:color="auto"/>
                    <w:right w:val="none" w:sz="0" w:space="0" w:color="auto"/>
                  </w:divBdr>
                  <w:divsChild>
                    <w:div w:id="1412317866">
                      <w:marLeft w:val="0"/>
                      <w:marRight w:val="0"/>
                      <w:marTop w:val="0"/>
                      <w:marBottom w:val="0"/>
                      <w:divBdr>
                        <w:top w:val="none" w:sz="0" w:space="0" w:color="auto"/>
                        <w:left w:val="none" w:sz="0" w:space="0" w:color="auto"/>
                        <w:bottom w:val="none" w:sz="0" w:space="0" w:color="auto"/>
                        <w:right w:val="none" w:sz="0" w:space="0" w:color="auto"/>
                      </w:divBdr>
                    </w:div>
                    <w:div w:id="1538817115">
                      <w:marLeft w:val="0"/>
                      <w:marRight w:val="0"/>
                      <w:marTop w:val="0"/>
                      <w:marBottom w:val="0"/>
                      <w:divBdr>
                        <w:top w:val="none" w:sz="0" w:space="0" w:color="auto"/>
                        <w:left w:val="none" w:sz="0" w:space="0" w:color="auto"/>
                        <w:bottom w:val="none" w:sz="0" w:space="0" w:color="auto"/>
                        <w:right w:val="none" w:sz="0" w:space="0" w:color="auto"/>
                      </w:divBdr>
                    </w:div>
                  </w:divsChild>
                </w:div>
                <w:div w:id="284896534">
                  <w:marLeft w:val="0"/>
                  <w:marRight w:val="0"/>
                  <w:marTop w:val="0"/>
                  <w:marBottom w:val="0"/>
                  <w:divBdr>
                    <w:top w:val="none" w:sz="0" w:space="0" w:color="auto"/>
                    <w:left w:val="none" w:sz="0" w:space="0" w:color="auto"/>
                    <w:bottom w:val="none" w:sz="0" w:space="0" w:color="auto"/>
                    <w:right w:val="none" w:sz="0" w:space="0" w:color="auto"/>
                  </w:divBdr>
                  <w:divsChild>
                    <w:div w:id="417869484">
                      <w:marLeft w:val="0"/>
                      <w:marRight w:val="0"/>
                      <w:marTop w:val="0"/>
                      <w:marBottom w:val="0"/>
                      <w:divBdr>
                        <w:top w:val="none" w:sz="0" w:space="0" w:color="auto"/>
                        <w:left w:val="none" w:sz="0" w:space="0" w:color="auto"/>
                        <w:bottom w:val="none" w:sz="0" w:space="0" w:color="auto"/>
                        <w:right w:val="none" w:sz="0" w:space="0" w:color="auto"/>
                      </w:divBdr>
                    </w:div>
                    <w:div w:id="683173082">
                      <w:marLeft w:val="0"/>
                      <w:marRight w:val="0"/>
                      <w:marTop w:val="0"/>
                      <w:marBottom w:val="0"/>
                      <w:divBdr>
                        <w:top w:val="none" w:sz="0" w:space="0" w:color="auto"/>
                        <w:left w:val="none" w:sz="0" w:space="0" w:color="auto"/>
                        <w:bottom w:val="none" w:sz="0" w:space="0" w:color="auto"/>
                        <w:right w:val="none" w:sz="0" w:space="0" w:color="auto"/>
                      </w:divBdr>
                    </w:div>
                  </w:divsChild>
                </w:div>
                <w:div w:id="317735250">
                  <w:marLeft w:val="0"/>
                  <w:marRight w:val="0"/>
                  <w:marTop w:val="0"/>
                  <w:marBottom w:val="0"/>
                  <w:divBdr>
                    <w:top w:val="none" w:sz="0" w:space="0" w:color="auto"/>
                    <w:left w:val="none" w:sz="0" w:space="0" w:color="auto"/>
                    <w:bottom w:val="none" w:sz="0" w:space="0" w:color="auto"/>
                    <w:right w:val="none" w:sz="0" w:space="0" w:color="auto"/>
                  </w:divBdr>
                  <w:divsChild>
                    <w:div w:id="1711228643">
                      <w:marLeft w:val="0"/>
                      <w:marRight w:val="0"/>
                      <w:marTop w:val="0"/>
                      <w:marBottom w:val="0"/>
                      <w:divBdr>
                        <w:top w:val="none" w:sz="0" w:space="0" w:color="auto"/>
                        <w:left w:val="none" w:sz="0" w:space="0" w:color="auto"/>
                        <w:bottom w:val="none" w:sz="0" w:space="0" w:color="auto"/>
                        <w:right w:val="none" w:sz="0" w:space="0" w:color="auto"/>
                      </w:divBdr>
                    </w:div>
                  </w:divsChild>
                </w:div>
                <w:div w:id="318075807">
                  <w:marLeft w:val="0"/>
                  <w:marRight w:val="0"/>
                  <w:marTop w:val="0"/>
                  <w:marBottom w:val="0"/>
                  <w:divBdr>
                    <w:top w:val="none" w:sz="0" w:space="0" w:color="auto"/>
                    <w:left w:val="none" w:sz="0" w:space="0" w:color="auto"/>
                    <w:bottom w:val="none" w:sz="0" w:space="0" w:color="auto"/>
                    <w:right w:val="none" w:sz="0" w:space="0" w:color="auto"/>
                  </w:divBdr>
                  <w:divsChild>
                    <w:div w:id="409038052">
                      <w:marLeft w:val="0"/>
                      <w:marRight w:val="0"/>
                      <w:marTop w:val="0"/>
                      <w:marBottom w:val="0"/>
                      <w:divBdr>
                        <w:top w:val="none" w:sz="0" w:space="0" w:color="auto"/>
                        <w:left w:val="none" w:sz="0" w:space="0" w:color="auto"/>
                        <w:bottom w:val="none" w:sz="0" w:space="0" w:color="auto"/>
                        <w:right w:val="none" w:sz="0" w:space="0" w:color="auto"/>
                      </w:divBdr>
                    </w:div>
                  </w:divsChild>
                </w:div>
                <w:div w:id="429279408">
                  <w:marLeft w:val="0"/>
                  <w:marRight w:val="0"/>
                  <w:marTop w:val="0"/>
                  <w:marBottom w:val="0"/>
                  <w:divBdr>
                    <w:top w:val="none" w:sz="0" w:space="0" w:color="auto"/>
                    <w:left w:val="none" w:sz="0" w:space="0" w:color="auto"/>
                    <w:bottom w:val="none" w:sz="0" w:space="0" w:color="auto"/>
                    <w:right w:val="none" w:sz="0" w:space="0" w:color="auto"/>
                  </w:divBdr>
                  <w:divsChild>
                    <w:div w:id="609707536">
                      <w:marLeft w:val="0"/>
                      <w:marRight w:val="0"/>
                      <w:marTop w:val="0"/>
                      <w:marBottom w:val="0"/>
                      <w:divBdr>
                        <w:top w:val="none" w:sz="0" w:space="0" w:color="auto"/>
                        <w:left w:val="none" w:sz="0" w:space="0" w:color="auto"/>
                        <w:bottom w:val="none" w:sz="0" w:space="0" w:color="auto"/>
                        <w:right w:val="none" w:sz="0" w:space="0" w:color="auto"/>
                      </w:divBdr>
                    </w:div>
                  </w:divsChild>
                </w:div>
                <w:div w:id="625741748">
                  <w:marLeft w:val="0"/>
                  <w:marRight w:val="0"/>
                  <w:marTop w:val="0"/>
                  <w:marBottom w:val="0"/>
                  <w:divBdr>
                    <w:top w:val="none" w:sz="0" w:space="0" w:color="auto"/>
                    <w:left w:val="none" w:sz="0" w:space="0" w:color="auto"/>
                    <w:bottom w:val="none" w:sz="0" w:space="0" w:color="auto"/>
                    <w:right w:val="none" w:sz="0" w:space="0" w:color="auto"/>
                  </w:divBdr>
                  <w:divsChild>
                    <w:div w:id="1188904301">
                      <w:marLeft w:val="0"/>
                      <w:marRight w:val="0"/>
                      <w:marTop w:val="0"/>
                      <w:marBottom w:val="0"/>
                      <w:divBdr>
                        <w:top w:val="none" w:sz="0" w:space="0" w:color="auto"/>
                        <w:left w:val="none" w:sz="0" w:space="0" w:color="auto"/>
                        <w:bottom w:val="none" w:sz="0" w:space="0" w:color="auto"/>
                        <w:right w:val="none" w:sz="0" w:space="0" w:color="auto"/>
                      </w:divBdr>
                    </w:div>
                  </w:divsChild>
                </w:div>
                <w:div w:id="634526287">
                  <w:marLeft w:val="0"/>
                  <w:marRight w:val="0"/>
                  <w:marTop w:val="0"/>
                  <w:marBottom w:val="0"/>
                  <w:divBdr>
                    <w:top w:val="none" w:sz="0" w:space="0" w:color="auto"/>
                    <w:left w:val="none" w:sz="0" w:space="0" w:color="auto"/>
                    <w:bottom w:val="none" w:sz="0" w:space="0" w:color="auto"/>
                    <w:right w:val="none" w:sz="0" w:space="0" w:color="auto"/>
                  </w:divBdr>
                  <w:divsChild>
                    <w:div w:id="340551208">
                      <w:marLeft w:val="0"/>
                      <w:marRight w:val="0"/>
                      <w:marTop w:val="0"/>
                      <w:marBottom w:val="0"/>
                      <w:divBdr>
                        <w:top w:val="none" w:sz="0" w:space="0" w:color="auto"/>
                        <w:left w:val="none" w:sz="0" w:space="0" w:color="auto"/>
                        <w:bottom w:val="none" w:sz="0" w:space="0" w:color="auto"/>
                        <w:right w:val="none" w:sz="0" w:space="0" w:color="auto"/>
                      </w:divBdr>
                    </w:div>
                    <w:div w:id="2142072563">
                      <w:marLeft w:val="0"/>
                      <w:marRight w:val="0"/>
                      <w:marTop w:val="0"/>
                      <w:marBottom w:val="0"/>
                      <w:divBdr>
                        <w:top w:val="none" w:sz="0" w:space="0" w:color="auto"/>
                        <w:left w:val="none" w:sz="0" w:space="0" w:color="auto"/>
                        <w:bottom w:val="none" w:sz="0" w:space="0" w:color="auto"/>
                        <w:right w:val="none" w:sz="0" w:space="0" w:color="auto"/>
                      </w:divBdr>
                    </w:div>
                  </w:divsChild>
                </w:div>
                <w:div w:id="874348072">
                  <w:marLeft w:val="0"/>
                  <w:marRight w:val="0"/>
                  <w:marTop w:val="0"/>
                  <w:marBottom w:val="0"/>
                  <w:divBdr>
                    <w:top w:val="none" w:sz="0" w:space="0" w:color="auto"/>
                    <w:left w:val="none" w:sz="0" w:space="0" w:color="auto"/>
                    <w:bottom w:val="none" w:sz="0" w:space="0" w:color="auto"/>
                    <w:right w:val="none" w:sz="0" w:space="0" w:color="auto"/>
                  </w:divBdr>
                  <w:divsChild>
                    <w:div w:id="321549175">
                      <w:marLeft w:val="0"/>
                      <w:marRight w:val="0"/>
                      <w:marTop w:val="0"/>
                      <w:marBottom w:val="0"/>
                      <w:divBdr>
                        <w:top w:val="none" w:sz="0" w:space="0" w:color="auto"/>
                        <w:left w:val="none" w:sz="0" w:space="0" w:color="auto"/>
                        <w:bottom w:val="none" w:sz="0" w:space="0" w:color="auto"/>
                        <w:right w:val="none" w:sz="0" w:space="0" w:color="auto"/>
                      </w:divBdr>
                    </w:div>
                    <w:div w:id="1187059594">
                      <w:marLeft w:val="0"/>
                      <w:marRight w:val="0"/>
                      <w:marTop w:val="0"/>
                      <w:marBottom w:val="0"/>
                      <w:divBdr>
                        <w:top w:val="none" w:sz="0" w:space="0" w:color="auto"/>
                        <w:left w:val="none" w:sz="0" w:space="0" w:color="auto"/>
                        <w:bottom w:val="none" w:sz="0" w:space="0" w:color="auto"/>
                        <w:right w:val="none" w:sz="0" w:space="0" w:color="auto"/>
                      </w:divBdr>
                    </w:div>
                    <w:div w:id="1286352283">
                      <w:marLeft w:val="0"/>
                      <w:marRight w:val="0"/>
                      <w:marTop w:val="0"/>
                      <w:marBottom w:val="0"/>
                      <w:divBdr>
                        <w:top w:val="none" w:sz="0" w:space="0" w:color="auto"/>
                        <w:left w:val="none" w:sz="0" w:space="0" w:color="auto"/>
                        <w:bottom w:val="none" w:sz="0" w:space="0" w:color="auto"/>
                        <w:right w:val="none" w:sz="0" w:space="0" w:color="auto"/>
                      </w:divBdr>
                    </w:div>
                  </w:divsChild>
                </w:div>
                <w:div w:id="1114255331">
                  <w:marLeft w:val="0"/>
                  <w:marRight w:val="0"/>
                  <w:marTop w:val="0"/>
                  <w:marBottom w:val="0"/>
                  <w:divBdr>
                    <w:top w:val="none" w:sz="0" w:space="0" w:color="auto"/>
                    <w:left w:val="none" w:sz="0" w:space="0" w:color="auto"/>
                    <w:bottom w:val="none" w:sz="0" w:space="0" w:color="auto"/>
                    <w:right w:val="none" w:sz="0" w:space="0" w:color="auto"/>
                  </w:divBdr>
                  <w:divsChild>
                    <w:div w:id="1013531054">
                      <w:marLeft w:val="0"/>
                      <w:marRight w:val="0"/>
                      <w:marTop w:val="0"/>
                      <w:marBottom w:val="0"/>
                      <w:divBdr>
                        <w:top w:val="none" w:sz="0" w:space="0" w:color="auto"/>
                        <w:left w:val="none" w:sz="0" w:space="0" w:color="auto"/>
                        <w:bottom w:val="none" w:sz="0" w:space="0" w:color="auto"/>
                        <w:right w:val="none" w:sz="0" w:space="0" w:color="auto"/>
                      </w:divBdr>
                    </w:div>
                    <w:div w:id="2039817370">
                      <w:marLeft w:val="0"/>
                      <w:marRight w:val="0"/>
                      <w:marTop w:val="0"/>
                      <w:marBottom w:val="0"/>
                      <w:divBdr>
                        <w:top w:val="none" w:sz="0" w:space="0" w:color="auto"/>
                        <w:left w:val="none" w:sz="0" w:space="0" w:color="auto"/>
                        <w:bottom w:val="none" w:sz="0" w:space="0" w:color="auto"/>
                        <w:right w:val="none" w:sz="0" w:space="0" w:color="auto"/>
                      </w:divBdr>
                    </w:div>
                  </w:divsChild>
                </w:div>
                <w:div w:id="1137646901">
                  <w:marLeft w:val="0"/>
                  <w:marRight w:val="0"/>
                  <w:marTop w:val="0"/>
                  <w:marBottom w:val="0"/>
                  <w:divBdr>
                    <w:top w:val="none" w:sz="0" w:space="0" w:color="auto"/>
                    <w:left w:val="none" w:sz="0" w:space="0" w:color="auto"/>
                    <w:bottom w:val="none" w:sz="0" w:space="0" w:color="auto"/>
                    <w:right w:val="none" w:sz="0" w:space="0" w:color="auto"/>
                  </w:divBdr>
                  <w:divsChild>
                    <w:div w:id="421756011">
                      <w:marLeft w:val="0"/>
                      <w:marRight w:val="0"/>
                      <w:marTop w:val="0"/>
                      <w:marBottom w:val="0"/>
                      <w:divBdr>
                        <w:top w:val="none" w:sz="0" w:space="0" w:color="auto"/>
                        <w:left w:val="none" w:sz="0" w:space="0" w:color="auto"/>
                        <w:bottom w:val="none" w:sz="0" w:space="0" w:color="auto"/>
                        <w:right w:val="none" w:sz="0" w:space="0" w:color="auto"/>
                      </w:divBdr>
                    </w:div>
                    <w:div w:id="1030840014">
                      <w:marLeft w:val="0"/>
                      <w:marRight w:val="0"/>
                      <w:marTop w:val="0"/>
                      <w:marBottom w:val="0"/>
                      <w:divBdr>
                        <w:top w:val="none" w:sz="0" w:space="0" w:color="auto"/>
                        <w:left w:val="none" w:sz="0" w:space="0" w:color="auto"/>
                        <w:bottom w:val="none" w:sz="0" w:space="0" w:color="auto"/>
                        <w:right w:val="none" w:sz="0" w:space="0" w:color="auto"/>
                      </w:divBdr>
                    </w:div>
                  </w:divsChild>
                </w:div>
                <w:div w:id="1196193428">
                  <w:marLeft w:val="0"/>
                  <w:marRight w:val="0"/>
                  <w:marTop w:val="0"/>
                  <w:marBottom w:val="0"/>
                  <w:divBdr>
                    <w:top w:val="none" w:sz="0" w:space="0" w:color="auto"/>
                    <w:left w:val="none" w:sz="0" w:space="0" w:color="auto"/>
                    <w:bottom w:val="none" w:sz="0" w:space="0" w:color="auto"/>
                    <w:right w:val="none" w:sz="0" w:space="0" w:color="auto"/>
                  </w:divBdr>
                  <w:divsChild>
                    <w:div w:id="1850750384">
                      <w:marLeft w:val="0"/>
                      <w:marRight w:val="0"/>
                      <w:marTop w:val="0"/>
                      <w:marBottom w:val="0"/>
                      <w:divBdr>
                        <w:top w:val="none" w:sz="0" w:space="0" w:color="auto"/>
                        <w:left w:val="none" w:sz="0" w:space="0" w:color="auto"/>
                        <w:bottom w:val="none" w:sz="0" w:space="0" w:color="auto"/>
                        <w:right w:val="none" w:sz="0" w:space="0" w:color="auto"/>
                      </w:divBdr>
                    </w:div>
                  </w:divsChild>
                </w:div>
                <w:div w:id="1352145721">
                  <w:marLeft w:val="0"/>
                  <w:marRight w:val="0"/>
                  <w:marTop w:val="0"/>
                  <w:marBottom w:val="0"/>
                  <w:divBdr>
                    <w:top w:val="none" w:sz="0" w:space="0" w:color="auto"/>
                    <w:left w:val="none" w:sz="0" w:space="0" w:color="auto"/>
                    <w:bottom w:val="none" w:sz="0" w:space="0" w:color="auto"/>
                    <w:right w:val="none" w:sz="0" w:space="0" w:color="auto"/>
                  </w:divBdr>
                  <w:divsChild>
                    <w:div w:id="10492640">
                      <w:marLeft w:val="0"/>
                      <w:marRight w:val="0"/>
                      <w:marTop w:val="0"/>
                      <w:marBottom w:val="0"/>
                      <w:divBdr>
                        <w:top w:val="none" w:sz="0" w:space="0" w:color="auto"/>
                        <w:left w:val="none" w:sz="0" w:space="0" w:color="auto"/>
                        <w:bottom w:val="none" w:sz="0" w:space="0" w:color="auto"/>
                        <w:right w:val="none" w:sz="0" w:space="0" w:color="auto"/>
                      </w:divBdr>
                    </w:div>
                    <w:div w:id="52047639">
                      <w:marLeft w:val="0"/>
                      <w:marRight w:val="0"/>
                      <w:marTop w:val="0"/>
                      <w:marBottom w:val="0"/>
                      <w:divBdr>
                        <w:top w:val="none" w:sz="0" w:space="0" w:color="auto"/>
                        <w:left w:val="none" w:sz="0" w:space="0" w:color="auto"/>
                        <w:bottom w:val="none" w:sz="0" w:space="0" w:color="auto"/>
                        <w:right w:val="none" w:sz="0" w:space="0" w:color="auto"/>
                      </w:divBdr>
                    </w:div>
                    <w:div w:id="141193626">
                      <w:marLeft w:val="0"/>
                      <w:marRight w:val="0"/>
                      <w:marTop w:val="0"/>
                      <w:marBottom w:val="0"/>
                      <w:divBdr>
                        <w:top w:val="none" w:sz="0" w:space="0" w:color="auto"/>
                        <w:left w:val="none" w:sz="0" w:space="0" w:color="auto"/>
                        <w:bottom w:val="none" w:sz="0" w:space="0" w:color="auto"/>
                        <w:right w:val="none" w:sz="0" w:space="0" w:color="auto"/>
                      </w:divBdr>
                    </w:div>
                    <w:div w:id="259604565">
                      <w:marLeft w:val="0"/>
                      <w:marRight w:val="0"/>
                      <w:marTop w:val="0"/>
                      <w:marBottom w:val="0"/>
                      <w:divBdr>
                        <w:top w:val="none" w:sz="0" w:space="0" w:color="auto"/>
                        <w:left w:val="none" w:sz="0" w:space="0" w:color="auto"/>
                        <w:bottom w:val="none" w:sz="0" w:space="0" w:color="auto"/>
                        <w:right w:val="none" w:sz="0" w:space="0" w:color="auto"/>
                      </w:divBdr>
                    </w:div>
                  </w:divsChild>
                </w:div>
                <w:div w:id="1635679377">
                  <w:marLeft w:val="0"/>
                  <w:marRight w:val="0"/>
                  <w:marTop w:val="0"/>
                  <w:marBottom w:val="0"/>
                  <w:divBdr>
                    <w:top w:val="none" w:sz="0" w:space="0" w:color="auto"/>
                    <w:left w:val="none" w:sz="0" w:space="0" w:color="auto"/>
                    <w:bottom w:val="none" w:sz="0" w:space="0" w:color="auto"/>
                    <w:right w:val="none" w:sz="0" w:space="0" w:color="auto"/>
                  </w:divBdr>
                  <w:divsChild>
                    <w:div w:id="1125588656">
                      <w:marLeft w:val="0"/>
                      <w:marRight w:val="0"/>
                      <w:marTop w:val="0"/>
                      <w:marBottom w:val="0"/>
                      <w:divBdr>
                        <w:top w:val="none" w:sz="0" w:space="0" w:color="auto"/>
                        <w:left w:val="none" w:sz="0" w:space="0" w:color="auto"/>
                        <w:bottom w:val="none" w:sz="0" w:space="0" w:color="auto"/>
                        <w:right w:val="none" w:sz="0" w:space="0" w:color="auto"/>
                      </w:divBdr>
                    </w:div>
                  </w:divsChild>
                </w:div>
                <w:div w:id="1649553098">
                  <w:marLeft w:val="0"/>
                  <w:marRight w:val="0"/>
                  <w:marTop w:val="0"/>
                  <w:marBottom w:val="0"/>
                  <w:divBdr>
                    <w:top w:val="none" w:sz="0" w:space="0" w:color="auto"/>
                    <w:left w:val="none" w:sz="0" w:space="0" w:color="auto"/>
                    <w:bottom w:val="none" w:sz="0" w:space="0" w:color="auto"/>
                    <w:right w:val="none" w:sz="0" w:space="0" w:color="auto"/>
                  </w:divBdr>
                  <w:divsChild>
                    <w:div w:id="108555341">
                      <w:marLeft w:val="0"/>
                      <w:marRight w:val="0"/>
                      <w:marTop w:val="0"/>
                      <w:marBottom w:val="0"/>
                      <w:divBdr>
                        <w:top w:val="none" w:sz="0" w:space="0" w:color="auto"/>
                        <w:left w:val="none" w:sz="0" w:space="0" w:color="auto"/>
                        <w:bottom w:val="none" w:sz="0" w:space="0" w:color="auto"/>
                        <w:right w:val="none" w:sz="0" w:space="0" w:color="auto"/>
                      </w:divBdr>
                    </w:div>
                  </w:divsChild>
                </w:div>
                <w:div w:id="1712877639">
                  <w:marLeft w:val="0"/>
                  <w:marRight w:val="0"/>
                  <w:marTop w:val="0"/>
                  <w:marBottom w:val="0"/>
                  <w:divBdr>
                    <w:top w:val="none" w:sz="0" w:space="0" w:color="auto"/>
                    <w:left w:val="none" w:sz="0" w:space="0" w:color="auto"/>
                    <w:bottom w:val="none" w:sz="0" w:space="0" w:color="auto"/>
                    <w:right w:val="none" w:sz="0" w:space="0" w:color="auto"/>
                  </w:divBdr>
                  <w:divsChild>
                    <w:div w:id="218249099">
                      <w:marLeft w:val="0"/>
                      <w:marRight w:val="0"/>
                      <w:marTop w:val="0"/>
                      <w:marBottom w:val="0"/>
                      <w:divBdr>
                        <w:top w:val="none" w:sz="0" w:space="0" w:color="auto"/>
                        <w:left w:val="none" w:sz="0" w:space="0" w:color="auto"/>
                        <w:bottom w:val="none" w:sz="0" w:space="0" w:color="auto"/>
                        <w:right w:val="none" w:sz="0" w:space="0" w:color="auto"/>
                      </w:divBdr>
                    </w:div>
                    <w:div w:id="1268544747">
                      <w:marLeft w:val="0"/>
                      <w:marRight w:val="0"/>
                      <w:marTop w:val="0"/>
                      <w:marBottom w:val="0"/>
                      <w:divBdr>
                        <w:top w:val="none" w:sz="0" w:space="0" w:color="auto"/>
                        <w:left w:val="none" w:sz="0" w:space="0" w:color="auto"/>
                        <w:bottom w:val="none" w:sz="0" w:space="0" w:color="auto"/>
                        <w:right w:val="none" w:sz="0" w:space="0" w:color="auto"/>
                      </w:divBdr>
                    </w:div>
                  </w:divsChild>
                </w:div>
                <w:div w:id="1780680359">
                  <w:marLeft w:val="0"/>
                  <w:marRight w:val="0"/>
                  <w:marTop w:val="0"/>
                  <w:marBottom w:val="0"/>
                  <w:divBdr>
                    <w:top w:val="none" w:sz="0" w:space="0" w:color="auto"/>
                    <w:left w:val="none" w:sz="0" w:space="0" w:color="auto"/>
                    <w:bottom w:val="none" w:sz="0" w:space="0" w:color="auto"/>
                    <w:right w:val="none" w:sz="0" w:space="0" w:color="auto"/>
                  </w:divBdr>
                  <w:divsChild>
                    <w:div w:id="1650669741">
                      <w:marLeft w:val="0"/>
                      <w:marRight w:val="0"/>
                      <w:marTop w:val="0"/>
                      <w:marBottom w:val="0"/>
                      <w:divBdr>
                        <w:top w:val="none" w:sz="0" w:space="0" w:color="auto"/>
                        <w:left w:val="none" w:sz="0" w:space="0" w:color="auto"/>
                        <w:bottom w:val="none" w:sz="0" w:space="0" w:color="auto"/>
                        <w:right w:val="none" w:sz="0" w:space="0" w:color="auto"/>
                      </w:divBdr>
                    </w:div>
                  </w:divsChild>
                </w:div>
                <w:div w:id="1827553318">
                  <w:marLeft w:val="0"/>
                  <w:marRight w:val="0"/>
                  <w:marTop w:val="0"/>
                  <w:marBottom w:val="0"/>
                  <w:divBdr>
                    <w:top w:val="none" w:sz="0" w:space="0" w:color="auto"/>
                    <w:left w:val="none" w:sz="0" w:space="0" w:color="auto"/>
                    <w:bottom w:val="none" w:sz="0" w:space="0" w:color="auto"/>
                    <w:right w:val="none" w:sz="0" w:space="0" w:color="auto"/>
                  </w:divBdr>
                  <w:divsChild>
                    <w:div w:id="28649447">
                      <w:marLeft w:val="0"/>
                      <w:marRight w:val="0"/>
                      <w:marTop w:val="0"/>
                      <w:marBottom w:val="0"/>
                      <w:divBdr>
                        <w:top w:val="none" w:sz="0" w:space="0" w:color="auto"/>
                        <w:left w:val="none" w:sz="0" w:space="0" w:color="auto"/>
                        <w:bottom w:val="none" w:sz="0" w:space="0" w:color="auto"/>
                        <w:right w:val="none" w:sz="0" w:space="0" w:color="auto"/>
                      </w:divBdr>
                    </w:div>
                    <w:div w:id="659582673">
                      <w:marLeft w:val="0"/>
                      <w:marRight w:val="0"/>
                      <w:marTop w:val="0"/>
                      <w:marBottom w:val="0"/>
                      <w:divBdr>
                        <w:top w:val="none" w:sz="0" w:space="0" w:color="auto"/>
                        <w:left w:val="none" w:sz="0" w:space="0" w:color="auto"/>
                        <w:bottom w:val="none" w:sz="0" w:space="0" w:color="auto"/>
                        <w:right w:val="none" w:sz="0" w:space="0" w:color="auto"/>
                      </w:divBdr>
                    </w:div>
                  </w:divsChild>
                </w:div>
                <w:div w:id="1830706755">
                  <w:marLeft w:val="0"/>
                  <w:marRight w:val="0"/>
                  <w:marTop w:val="0"/>
                  <w:marBottom w:val="0"/>
                  <w:divBdr>
                    <w:top w:val="none" w:sz="0" w:space="0" w:color="auto"/>
                    <w:left w:val="none" w:sz="0" w:space="0" w:color="auto"/>
                    <w:bottom w:val="none" w:sz="0" w:space="0" w:color="auto"/>
                    <w:right w:val="none" w:sz="0" w:space="0" w:color="auto"/>
                  </w:divBdr>
                  <w:divsChild>
                    <w:div w:id="811869403">
                      <w:marLeft w:val="0"/>
                      <w:marRight w:val="0"/>
                      <w:marTop w:val="0"/>
                      <w:marBottom w:val="0"/>
                      <w:divBdr>
                        <w:top w:val="none" w:sz="0" w:space="0" w:color="auto"/>
                        <w:left w:val="none" w:sz="0" w:space="0" w:color="auto"/>
                        <w:bottom w:val="none" w:sz="0" w:space="0" w:color="auto"/>
                        <w:right w:val="none" w:sz="0" w:space="0" w:color="auto"/>
                      </w:divBdr>
                    </w:div>
                    <w:div w:id="1144812677">
                      <w:marLeft w:val="0"/>
                      <w:marRight w:val="0"/>
                      <w:marTop w:val="0"/>
                      <w:marBottom w:val="0"/>
                      <w:divBdr>
                        <w:top w:val="none" w:sz="0" w:space="0" w:color="auto"/>
                        <w:left w:val="none" w:sz="0" w:space="0" w:color="auto"/>
                        <w:bottom w:val="none" w:sz="0" w:space="0" w:color="auto"/>
                        <w:right w:val="none" w:sz="0" w:space="0" w:color="auto"/>
                      </w:divBdr>
                    </w:div>
                  </w:divsChild>
                </w:div>
                <w:div w:id="1881235944">
                  <w:marLeft w:val="0"/>
                  <w:marRight w:val="0"/>
                  <w:marTop w:val="0"/>
                  <w:marBottom w:val="0"/>
                  <w:divBdr>
                    <w:top w:val="none" w:sz="0" w:space="0" w:color="auto"/>
                    <w:left w:val="none" w:sz="0" w:space="0" w:color="auto"/>
                    <w:bottom w:val="none" w:sz="0" w:space="0" w:color="auto"/>
                    <w:right w:val="none" w:sz="0" w:space="0" w:color="auto"/>
                  </w:divBdr>
                  <w:divsChild>
                    <w:div w:id="425730043">
                      <w:marLeft w:val="0"/>
                      <w:marRight w:val="0"/>
                      <w:marTop w:val="0"/>
                      <w:marBottom w:val="0"/>
                      <w:divBdr>
                        <w:top w:val="none" w:sz="0" w:space="0" w:color="auto"/>
                        <w:left w:val="none" w:sz="0" w:space="0" w:color="auto"/>
                        <w:bottom w:val="none" w:sz="0" w:space="0" w:color="auto"/>
                        <w:right w:val="none" w:sz="0" w:space="0" w:color="auto"/>
                      </w:divBdr>
                    </w:div>
                  </w:divsChild>
                </w:div>
                <w:div w:id="1907453629">
                  <w:marLeft w:val="0"/>
                  <w:marRight w:val="0"/>
                  <w:marTop w:val="0"/>
                  <w:marBottom w:val="0"/>
                  <w:divBdr>
                    <w:top w:val="none" w:sz="0" w:space="0" w:color="auto"/>
                    <w:left w:val="none" w:sz="0" w:space="0" w:color="auto"/>
                    <w:bottom w:val="none" w:sz="0" w:space="0" w:color="auto"/>
                    <w:right w:val="none" w:sz="0" w:space="0" w:color="auto"/>
                  </w:divBdr>
                  <w:divsChild>
                    <w:div w:id="435056214">
                      <w:marLeft w:val="0"/>
                      <w:marRight w:val="0"/>
                      <w:marTop w:val="0"/>
                      <w:marBottom w:val="0"/>
                      <w:divBdr>
                        <w:top w:val="none" w:sz="0" w:space="0" w:color="auto"/>
                        <w:left w:val="none" w:sz="0" w:space="0" w:color="auto"/>
                        <w:bottom w:val="none" w:sz="0" w:space="0" w:color="auto"/>
                        <w:right w:val="none" w:sz="0" w:space="0" w:color="auto"/>
                      </w:divBdr>
                    </w:div>
                    <w:div w:id="1945310167">
                      <w:marLeft w:val="0"/>
                      <w:marRight w:val="0"/>
                      <w:marTop w:val="0"/>
                      <w:marBottom w:val="0"/>
                      <w:divBdr>
                        <w:top w:val="none" w:sz="0" w:space="0" w:color="auto"/>
                        <w:left w:val="none" w:sz="0" w:space="0" w:color="auto"/>
                        <w:bottom w:val="none" w:sz="0" w:space="0" w:color="auto"/>
                        <w:right w:val="none" w:sz="0" w:space="0" w:color="auto"/>
                      </w:divBdr>
                    </w:div>
                  </w:divsChild>
                </w:div>
                <w:div w:id="2089694241">
                  <w:marLeft w:val="0"/>
                  <w:marRight w:val="0"/>
                  <w:marTop w:val="0"/>
                  <w:marBottom w:val="0"/>
                  <w:divBdr>
                    <w:top w:val="none" w:sz="0" w:space="0" w:color="auto"/>
                    <w:left w:val="none" w:sz="0" w:space="0" w:color="auto"/>
                    <w:bottom w:val="none" w:sz="0" w:space="0" w:color="auto"/>
                    <w:right w:val="none" w:sz="0" w:space="0" w:color="auto"/>
                  </w:divBdr>
                  <w:divsChild>
                    <w:div w:id="1942637336">
                      <w:marLeft w:val="0"/>
                      <w:marRight w:val="0"/>
                      <w:marTop w:val="0"/>
                      <w:marBottom w:val="0"/>
                      <w:divBdr>
                        <w:top w:val="none" w:sz="0" w:space="0" w:color="auto"/>
                        <w:left w:val="none" w:sz="0" w:space="0" w:color="auto"/>
                        <w:bottom w:val="none" w:sz="0" w:space="0" w:color="auto"/>
                        <w:right w:val="none" w:sz="0" w:space="0" w:color="auto"/>
                      </w:divBdr>
                    </w:div>
                  </w:divsChild>
                </w:div>
                <w:div w:id="2117673789">
                  <w:marLeft w:val="0"/>
                  <w:marRight w:val="0"/>
                  <w:marTop w:val="0"/>
                  <w:marBottom w:val="0"/>
                  <w:divBdr>
                    <w:top w:val="none" w:sz="0" w:space="0" w:color="auto"/>
                    <w:left w:val="none" w:sz="0" w:space="0" w:color="auto"/>
                    <w:bottom w:val="none" w:sz="0" w:space="0" w:color="auto"/>
                    <w:right w:val="none" w:sz="0" w:space="0" w:color="auto"/>
                  </w:divBdr>
                  <w:divsChild>
                    <w:div w:id="757992482">
                      <w:marLeft w:val="0"/>
                      <w:marRight w:val="0"/>
                      <w:marTop w:val="0"/>
                      <w:marBottom w:val="0"/>
                      <w:divBdr>
                        <w:top w:val="none" w:sz="0" w:space="0" w:color="auto"/>
                        <w:left w:val="none" w:sz="0" w:space="0" w:color="auto"/>
                        <w:bottom w:val="none" w:sz="0" w:space="0" w:color="auto"/>
                        <w:right w:val="none" w:sz="0" w:space="0" w:color="auto"/>
                      </w:divBdr>
                    </w:div>
                  </w:divsChild>
                </w:div>
                <w:div w:id="2126993816">
                  <w:marLeft w:val="0"/>
                  <w:marRight w:val="0"/>
                  <w:marTop w:val="0"/>
                  <w:marBottom w:val="0"/>
                  <w:divBdr>
                    <w:top w:val="none" w:sz="0" w:space="0" w:color="auto"/>
                    <w:left w:val="none" w:sz="0" w:space="0" w:color="auto"/>
                    <w:bottom w:val="none" w:sz="0" w:space="0" w:color="auto"/>
                    <w:right w:val="none" w:sz="0" w:space="0" w:color="auto"/>
                  </w:divBdr>
                  <w:divsChild>
                    <w:div w:id="674308799">
                      <w:marLeft w:val="0"/>
                      <w:marRight w:val="0"/>
                      <w:marTop w:val="0"/>
                      <w:marBottom w:val="0"/>
                      <w:divBdr>
                        <w:top w:val="none" w:sz="0" w:space="0" w:color="auto"/>
                        <w:left w:val="none" w:sz="0" w:space="0" w:color="auto"/>
                        <w:bottom w:val="none" w:sz="0" w:space="0" w:color="auto"/>
                        <w:right w:val="none" w:sz="0" w:space="0" w:color="auto"/>
                      </w:divBdr>
                    </w:div>
                    <w:div w:id="1007946257">
                      <w:marLeft w:val="0"/>
                      <w:marRight w:val="0"/>
                      <w:marTop w:val="0"/>
                      <w:marBottom w:val="0"/>
                      <w:divBdr>
                        <w:top w:val="none" w:sz="0" w:space="0" w:color="auto"/>
                        <w:left w:val="none" w:sz="0" w:space="0" w:color="auto"/>
                        <w:bottom w:val="none" w:sz="0" w:space="0" w:color="auto"/>
                        <w:right w:val="none" w:sz="0" w:space="0" w:color="auto"/>
                      </w:divBdr>
                    </w:div>
                    <w:div w:id="14633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662381">
          <w:marLeft w:val="0"/>
          <w:marRight w:val="0"/>
          <w:marTop w:val="0"/>
          <w:marBottom w:val="0"/>
          <w:divBdr>
            <w:top w:val="none" w:sz="0" w:space="0" w:color="auto"/>
            <w:left w:val="none" w:sz="0" w:space="0" w:color="auto"/>
            <w:bottom w:val="none" w:sz="0" w:space="0" w:color="auto"/>
            <w:right w:val="none" w:sz="0" w:space="0" w:color="auto"/>
          </w:divBdr>
          <w:divsChild>
            <w:div w:id="1742094229">
              <w:marLeft w:val="-75"/>
              <w:marRight w:val="0"/>
              <w:marTop w:val="30"/>
              <w:marBottom w:val="30"/>
              <w:divBdr>
                <w:top w:val="none" w:sz="0" w:space="0" w:color="auto"/>
                <w:left w:val="none" w:sz="0" w:space="0" w:color="auto"/>
                <w:bottom w:val="none" w:sz="0" w:space="0" w:color="auto"/>
                <w:right w:val="none" w:sz="0" w:space="0" w:color="auto"/>
              </w:divBdr>
              <w:divsChild>
                <w:div w:id="350453369">
                  <w:marLeft w:val="0"/>
                  <w:marRight w:val="0"/>
                  <w:marTop w:val="0"/>
                  <w:marBottom w:val="0"/>
                  <w:divBdr>
                    <w:top w:val="none" w:sz="0" w:space="0" w:color="auto"/>
                    <w:left w:val="none" w:sz="0" w:space="0" w:color="auto"/>
                    <w:bottom w:val="none" w:sz="0" w:space="0" w:color="auto"/>
                    <w:right w:val="none" w:sz="0" w:space="0" w:color="auto"/>
                  </w:divBdr>
                  <w:divsChild>
                    <w:div w:id="2076664663">
                      <w:marLeft w:val="0"/>
                      <w:marRight w:val="0"/>
                      <w:marTop w:val="0"/>
                      <w:marBottom w:val="0"/>
                      <w:divBdr>
                        <w:top w:val="none" w:sz="0" w:space="0" w:color="auto"/>
                        <w:left w:val="none" w:sz="0" w:space="0" w:color="auto"/>
                        <w:bottom w:val="none" w:sz="0" w:space="0" w:color="auto"/>
                        <w:right w:val="none" w:sz="0" w:space="0" w:color="auto"/>
                      </w:divBdr>
                    </w:div>
                  </w:divsChild>
                </w:div>
                <w:div w:id="675225664">
                  <w:marLeft w:val="0"/>
                  <w:marRight w:val="0"/>
                  <w:marTop w:val="0"/>
                  <w:marBottom w:val="0"/>
                  <w:divBdr>
                    <w:top w:val="none" w:sz="0" w:space="0" w:color="auto"/>
                    <w:left w:val="none" w:sz="0" w:space="0" w:color="auto"/>
                    <w:bottom w:val="none" w:sz="0" w:space="0" w:color="auto"/>
                    <w:right w:val="none" w:sz="0" w:space="0" w:color="auto"/>
                  </w:divBdr>
                  <w:divsChild>
                    <w:div w:id="601033096">
                      <w:marLeft w:val="0"/>
                      <w:marRight w:val="0"/>
                      <w:marTop w:val="0"/>
                      <w:marBottom w:val="0"/>
                      <w:divBdr>
                        <w:top w:val="none" w:sz="0" w:space="0" w:color="auto"/>
                        <w:left w:val="none" w:sz="0" w:space="0" w:color="auto"/>
                        <w:bottom w:val="none" w:sz="0" w:space="0" w:color="auto"/>
                        <w:right w:val="none" w:sz="0" w:space="0" w:color="auto"/>
                      </w:divBdr>
                    </w:div>
                  </w:divsChild>
                </w:div>
                <w:div w:id="707292317">
                  <w:marLeft w:val="0"/>
                  <w:marRight w:val="0"/>
                  <w:marTop w:val="0"/>
                  <w:marBottom w:val="0"/>
                  <w:divBdr>
                    <w:top w:val="none" w:sz="0" w:space="0" w:color="auto"/>
                    <w:left w:val="none" w:sz="0" w:space="0" w:color="auto"/>
                    <w:bottom w:val="none" w:sz="0" w:space="0" w:color="auto"/>
                    <w:right w:val="none" w:sz="0" w:space="0" w:color="auto"/>
                  </w:divBdr>
                  <w:divsChild>
                    <w:div w:id="244920791">
                      <w:marLeft w:val="0"/>
                      <w:marRight w:val="0"/>
                      <w:marTop w:val="0"/>
                      <w:marBottom w:val="0"/>
                      <w:divBdr>
                        <w:top w:val="none" w:sz="0" w:space="0" w:color="auto"/>
                        <w:left w:val="none" w:sz="0" w:space="0" w:color="auto"/>
                        <w:bottom w:val="none" w:sz="0" w:space="0" w:color="auto"/>
                        <w:right w:val="none" w:sz="0" w:space="0" w:color="auto"/>
                      </w:divBdr>
                    </w:div>
                  </w:divsChild>
                </w:div>
                <w:div w:id="885919511">
                  <w:marLeft w:val="0"/>
                  <w:marRight w:val="0"/>
                  <w:marTop w:val="0"/>
                  <w:marBottom w:val="0"/>
                  <w:divBdr>
                    <w:top w:val="none" w:sz="0" w:space="0" w:color="auto"/>
                    <w:left w:val="none" w:sz="0" w:space="0" w:color="auto"/>
                    <w:bottom w:val="none" w:sz="0" w:space="0" w:color="auto"/>
                    <w:right w:val="none" w:sz="0" w:space="0" w:color="auto"/>
                  </w:divBdr>
                  <w:divsChild>
                    <w:div w:id="565190369">
                      <w:marLeft w:val="0"/>
                      <w:marRight w:val="0"/>
                      <w:marTop w:val="0"/>
                      <w:marBottom w:val="0"/>
                      <w:divBdr>
                        <w:top w:val="none" w:sz="0" w:space="0" w:color="auto"/>
                        <w:left w:val="none" w:sz="0" w:space="0" w:color="auto"/>
                        <w:bottom w:val="none" w:sz="0" w:space="0" w:color="auto"/>
                        <w:right w:val="none" w:sz="0" w:space="0" w:color="auto"/>
                      </w:divBdr>
                    </w:div>
                  </w:divsChild>
                </w:div>
                <w:div w:id="985937014">
                  <w:marLeft w:val="0"/>
                  <w:marRight w:val="0"/>
                  <w:marTop w:val="0"/>
                  <w:marBottom w:val="0"/>
                  <w:divBdr>
                    <w:top w:val="none" w:sz="0" w:space="0" w:color="auto"/>
                    <w:left w:val="none" w:sz="0" w:space="0" w:color="auto"/>
                    <w:bottom w:val="none" w:sz="0" w:space="0" w:color="auto"/>
                    <w:right w:val="none" w:sz="0" w:space="0" w:color="auto"/>
                  </w:divBdr>
                  <w:divsChild>
                    <w:div w:id="1529294472">
                      <w:marLeft w:val="0"/>
                      <w:marRight w:val="0"/>
                      <w:marTop w:val="0"/>
                      <w:marBottom w:val="0"/>
                      <w:divBdr>
                        <w:top w:val="none" w:sz="0" w:space="0" w:color="auto"/>
                        <w:left w:val="none" w:sz="0" w:space="0" w:color="auto"/>
                        <w:bottom w:val="none" w:sz="0" w:space="0" w:color="auto"/>
                        <w:right w:val="none" w:sz="0" w:space="0" w:color="auto"/>
                      </w:divBdr>
                    </w:div>
                  </w:divsChild>
                </w:div>
                <w:div w:id="1056468873">
                  <w:marLeft w:val="0"/>
                  <w:marRight w:val="0"/>
                  <w:marTop w:val="0"/>
                  <w:marBottom w:val="0"/>
                  <w:divBdr>
                    <w:top w:val="none" w:sz="0" w:space="0" w:color="auto"/>
                    <w:left w:val="none" w:sz="0" w:space="0" w:color="auto"/>
                    <w:bottom w:val="none" w:sz="0" w:space="0" w:color="auto"/>
                    <w:right w:val="none" w:sz="0" w:space="0" w:color="auto"/>
                  </w:divBdr>
                  <w:divsChild>
                    <w:div w:id="1204827602">
                      <w:marLeft w:val="0"/>
                      <w:marRight w:val="0"/>
                      <w:marTop w:val="0"/>
                      <w:marBottom w:val="0"/>
                      <w:divBdr>
                        <w:top w:val="none" w:sz="0" w:space="0" w:color="auto"/>
                        <w:left w:val="none" w:sz="0" w:space="0" w:color="auto"/>
                        <w:bottom w:val="none" w:sz="0" w:space="0" w:color="auto"/>
                        <w:right w:val="none" w:sz="0" w:space="0" w:color="auto"/>
                      </w:divBdr>
                    </w:div>
                  </w:divsChild>
                </w:div>
                <w:div w:id="1698047490">
                  <w:marLeft w:val="0"/>
                  <w:marRight w:val="0"/>
                  <w:marTop w:val="0"/>
                  <w:marBottom w:val="0"/>
                  <w:divBdr>
                    <w:top w:val="none" w:sz="0" w:space="0" w:color="auto"/>
                    <w:left w:val="none" w:sz="0" w:space="0" w:color="auto"/>
                    <w:bottom w:val="none" w:sz="0" w:space="0" w:color="auto"/>
                    <w:right w:val="none" w:sz="0" w:space="0" w:color="auto"/>
                  </w:divBdr>
                  <w:divsChild>
                    <w:div w:id="903032020">
                      <w:marLeft w:val="0"/>
                      <w:marRight w:val="0"/>
                      <w:marTop w:val="0"/>
                      <w:marBottom w:val="0"/>
                      <w:divBdr>
                        <w:top w:val="none" w:sz="0" w:space="0" w:color="auto"/>
                        <w:left w:val="none" w:sz="0" w:space="0" w:color="auto"/>
                        <w:bottom w:val="none" w:sz="0" w:space="0" w:color="auto"/>
                        <w:right w:val="none" w:sz="0" w:space="0" w:color="auto"/>
                      </w:divBdr>
                    </w:div>
                  </w:divsChild>
                </w:div>
                <w:div w:id="2013558892">
                  <w:marLeft w:val="0"/>
                  <w:marRight w:val="0"/>
                  <w:marTop w:val="0"/>
                  <w:marBottom w:val="0"/>
                  <w:divBdr>
                    <w:top w:val="none" w:sz="0" w:space="0" w:color="auto"/>
                    <w:left w:val="none" w:sz="0" w:space="0" w:color="auto"/>
                    <w:bottom w:val="none" w:sz="0" w:space="0" w:color="auto"/>
                    <w:right w:val="none" w:sz="0" w:space="0" w:color="auto"/>
                  </w:divBdr>
                  <w:divsChild>
                    <w:div w:id="102972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673336">
          <w:marLeft w:val="0"/>
          <w:marRight w:val="0"/>
          <w:marTop w:val="0"/>
          <w:marBottom w:val="0"/>
          <w:divBdr>
            <w:top w:val="none" w:sz="0" w:space="0" w:color="auto"/>
            <w:left w:val="none" w:sz="0" w:space="0" w:color="auto"/>
            <w:bottom w:val="none" w:sz="0" w:space="0" w:color="auto"/>
            <w:right w:val="none" w:sz="0" w:space="0" w:color="auto"/>
          </w:divBdr>
        </w:div>
        <w:div w:id="1603223123">
          <w:marLeft w:val="0"/>
          <w:marRight w:val="0"/>
          <w:marTop w:val="0"/>
          <w:marBottom w:val="0"/>
          <w:divBdr>
            <w:top w:val="none" w:sz="0" w:space="0" w:color="auto"/>
            <w:left w:val="none" w:sz="0" w:space="0" w:color="auto"/>
            <w:bottom w:val="none" w:sz="0" w:space="0" w:color="auto"/>
            <w:right w:val="none" w:sz="0" w:space="0" w:color="auto"/>
          </w:divBdr>
        </w:div>
        <w:div w:id="1621763014">
          <w:marLeft w:val="0"/>
          <w:marRight w:val="0"/>
          <w:marTop w:val="0"/>
          <w:marBottom w:val="0"/>
          <w:divBdr>
            <w:top w:val="none" w:sz="0" w:space="0" w:color="auto"/>
            <w:left w:val="none" w:sz="0" w:space="0" w:color="auto"/>
            <w:bottom w:val="none" w:sz="0" w:space="0" w:color="auto"/>
            <w:right w:val="none" w:sz="0" w:space="0" w:color="auto"/>
          </w:divBdr>
        </w:div>
        <w:div w:id="1935673586">
          <w:marLeft w:val="0"/>
          <w:marRight w:val="0"/>
          <w:marTop w:val="0"/>
          <w:marBottom w:val="0"/>
          <w:divBdr>
            <w:top w:val="none" w:sz="0" w:space="0" w:color="auto"/>
            <w:left w:val="none" w:sz="0" w:space="0" w:color="auto"/>
            <w:bottom w:val="none" w:sz="0" w:space="0" w:color="auto"/>
            <w:right w:val="none" w:sz="0" w:space="0" w:color="auto"/>
          </w:divBdr>
        </w:div>
        <w:div w:id="2067297884">
          <w:marLeft w:val="0"/>
          <w:marRight w:val="0"/>
          <w:marTop w:val="0"/>
          <w:marBottom w:val="0"/>
          <w:divBdr>
            <w:top w:val="none" w:sz="0" w:space="0" w:color="auto"/>
            <w:left w:val="none" w:sz="0" w:space="0" w:color="auto"/>
            <w:bottom w:val="none" w:sz="0" w:space="0" w:color="auto"/>
            <w:right w:val="none" w:sz="0" w:space="0" w:color="auto"/>
          </w:divBdr>
        </w:div>
        <w:div w:id="2109542123">
          <w:marLeft w:val="0"/>
          <w:marRight w:val="0"/>
          <w:marTop w:val="0"/>
          <w:marBottom w:val="0"/>
          <w:divBdr>
            <w:top w:val="none" w:sz="0" w:space="0" w:color="auto"/>
            <w:left w:val="none" w:sz="0" w:space="0" w:color="auto"/>
            <w:bottom w:val="none" w:sz="0" w:space="0" w:color="auto"/>
            <w:right w:val="none" w:sz="0" w:space="0" w:color="auto"/>
          </w:divBdr>
        </w:div>
        <w:div w:id="2136554952">
          <w:marLeft w:val="0"/>
          <w:marRight w:val="0"/>
          <w:marTop w:val="0"/>
          <w:marBottom w:val="0"/>
          <w:divBdr>
            <w:top w:val="none" w:sz="0" w:space="0" w:color="auto"/>
            <w:left w:val="none" w:sz="0" w:space="0" w:color="auto"/>
            <w:bottom w:val="none" w:sz="0" w:space="0" w:color="auto"/>
            <w:right w:val="none" w:sz="0" w:space="0" w:color="auto"/>
          </w:divBdr>
        </w:div>
      </w:divsChild>
    </w:div>
    <w:div w:id="1106924898">
      <w:bodyDiv w:val="1"/>
      <w:marLeft w:val="0"/>
      <w:marRight w:val="0"/>
      <w:marTop w:val="0"/>
      <w:marBottom w:val="0"/>
      <w:divBdr>
        <w:top w:val="none" w:sz="0" w:space="0" w:color="auto"/>
        <w:left w:val="none" w:sz="0" w:space="0" w:color="auto"/>
        <w:bottom w:val="none" w:sz="0" w:space="0" w:color="auto"/>
        <w:right w:val="none" w:sz="0" w:space="0" w:color="auto"/>
      </w:divBdr>
    </w:div>
    <w:div w:id="1139299323">
      <w:bodyDiv w:val="1"/>
      <w:marLeft w:val="0"/>
      <w:marRight w:val="0"/>
      <w:marTop w:val="0"/>
      <w:marBottom w:val="0"/>
      <w:divBdr>
        <w:top w:val="none" w:sz="0" w:space="0" w:color="auto"/>
        <w:left w:val="none" w:sz="0" w:space="0" w:color="auto"/>
        <w:bottom w:val="none" w:sz="0" w:space="0" w:color="auto"/>
        <w:right w:val="none" w:sz="0" w:space="0" w:color="auto"/>
      </w:divBdr>
    </w:div>
    <w:div w:id="1154223618">
      <w:bodyDiv w:val="1"/>
      <w:marLeft w:val="0"/>
      <w:marRight w:val="0"/>
      <w:marTop w:val="0"/>
      <w:marBottom w:val="0"/>
      <w:divBdr>
        <w:top w:val="none" w:sz="0" w:space="0" w:color="auto"/>
        <w:left w:val="none" w:sz="0" w:space="0" w:color="auto"/>
        <w:bottom w:val="none" w:sz="0" w:space="0" w:color="auto"/>
        <w:right w:val="none" w:sz="0" w:space="0" w:color="auto"/>
      </w:divBdr>
    </w:div>
    <w:div w:id="1156797228">
      <w:bodyDiv w:val="1"/>
      <w:marLeft w:val="0"/>
      <w:marRight w:val="0"/>
      <w:marTop w:val="0"/>
      <w:marBottom w:val="0"/>
      <w:divBdr>
        <w:top w:val="none" w:sz="0" w:space="0" w:color="auto"/>
        <w:left w:val="none" w:sz="0" w:space="0" w:color="auto"/>
        <w:bottom w:val="none" w:sz="0" w:space="0" w:color="auto"/>
        <w:right w:val="none" w:sz="0" w:space="0" w:color="auto"/>
      </w:divBdr>
    </w:div>
    <w:div w:id="1176456817">
      <w:bodyDiv w:val="1"/>
      <w:marLeft w:val="0"/>
      <w:marRight w:val="0"/>
      <w:marTop w:val="0"/>
      <w:marBottom w:val="0"/>
      <w:divBdr>
        <w:top w:val="none" w:sz="0" w:space="0" w:color="auto"/>
        <w:left w:val="none" w:sz="0" w:space="0" w:color="auto"/>
        <w:bottom w:val="none" w:sz="0" w:space="0" w:color="auto"/>
        <w:right w:val="none" w:sz="0" w:space="0" w:color="auto"/>
      </w:divBdr>
    </w:div>
    <w:div w:id="1214653790">
      <w:bodyDiv w:val="1"/>
      <w:marLeft w:val="0"/>
      <w:marRight w:val="0"/>
      <w:marTop w:val="0"/>
      <w:marBottom w:val="0"/>
      <w:divBdr>
        <w:top w:val="none" w:sz="0" w:space="0" w:color="auto"/>
        <w:left w:val="none" w:sz="0" w:space="0" w:color="auto"/>
        <w:bottom w:val="none" w:sz="0" w:space="0" w:color="auto"/>
        <w:right w:val="none" w:sz="0" w:space="0" w:color="auto"/>
      </w:divBdr>
    </w:div>
    <w:div w:id="1220241067">
      <w:bodyDiv w:val="1"/>
      <w:marLeft w:val="0"/>
      <w:marRight w:val="0"/>
      <w:marTop w:val="0"/>
      <w:marBottom w:val="0"/>
      <w:divBdr>
        <w:top w:val="none" w:sz="0" w:space="0" w:color="auto"/>
        <w:left w:val="none" w:sz="0" w:space="0" w:color="auto"/>
        <w:bottom w:val="none" w:sz="0" w:space="0" w:color="auto"/>
        <w:right w:val="none" w:sz="0" w:space="0" w:color="auto"/>
      </w:divBdr>
      <w:divsChild>
        <w:div w:id="878055901">
          <w:marLeft w:val="0"/>
          <w:marRight w:val="0"/>
          <w:marTop w:val="0"/>
          <w:marBottom w:val="0"/>
          <w:divBdr>
            <w:top w:val="none" w:sz="0" w:space="0" w:color="auto"/>
            <w:left w:val="none" w:sz="0" w:space="0" w:color="auto"/>
            <w:bottom w:val="none" w:sz="0" w:space="0" w:color="auto"/>
            <w:right w:val="none" w:sz="0" w:space="0" w:color="auto"/>
          </w:divBdr>
          <w:divsChild>
            <w:div w:id="148597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00321">
      <w:bodyDiv w:val="1"/>
      <w:marLeft w:val="0"/>
      <w:marRight w:val="0"/>
      <w:marTop w:val="0"/>
      <w:marBottom w:val="0"/>
      <w:divBdr>
        <w:top w:val="none" w:sz="0" w:space="0" w:color="auto"/>
        <w:left w:val="none" w:sz="0" w:space="0" w:color="auto"/>
        <w:bottom w:val="none" w:sz="0" w:space="0" w:color="auto"/>
        <w:right w:val="none" w:sz="0" w:space="0" w:color="auto"/>
      </w:divBdr>
    </w:div>
    <w:div w:id="1284726055">
      <w:bodyDiv w:val="1"/>
      <w:marLeft w:val="0"/>
      <w:marRight w:val="0"/>
      <w:marTop w:val="0"/>
      <w:marBottom w:val="0"/>
      <w:divBdr>
        <w:top w:val="none" w:sz="0" w:space="0" w:color="auto"/>
        <w:left w:val="none" w:sz="0" w:space="0" w:color="auto"/>
        <w:bottom w:val="none" w:sz="0" w:space="0" w:color="auto"/>
        <w:right w:val="none" w:sz="0" w:space="0" w:color="auto"/>
      </w:divBdr>
    </w:div>
    <w:div w:id="1316567848">
      <w:bodyDiv w:val="1"/>
      <w:marLeft w:val="0"/>
      <w:marRight w:val="0"/>
      <w:marTop w:val="0"/>
      <w:marBottom w:val="0"/>
      <w:divBdr>
        <w:top w:val="none" w:sz="0" w:space="0" w:color="auto"/>
        <w:left w:val="none" w:sz="0" w:space="0" w:color="auto"/>
        <w:bottom w:val="none" w:sz="0" w:space="0" w:color="auto"/>
        <w:right w:val="none" w:sz="0" w:space="0" w:color="auto"/>
      </w:divBdr>
    </w:div>
    <w:div w:id="1353337328">
      <w:bodyDiv w:val="1"/>
      <w:marLeft w:val="0"/>
      <w:marRight w:val="0"/>
      <w:marTop w:val="0"/>
      <w:marBottom w:val="0"/>
      <w:divBdr>
        <w:top w:val="none" w:sz="0" w:space="0" w:color="auto"/>
        <w:left w:val="none" w:sz="0" w:space="0" w:color="auto"/>
        <w:bottom w:val="none" w:sz="0" w:space="0" w:color="auto"/>
        <w:right w:val="none" w:sz="0" w:space="0" w:color="auto"/>
      </w:divBdr>
    </w:div>
    <w:div w:id="1369452869">
      <w:bodyDiv w:val="1"/>
      <w:marLeft w:val="0"/>
      <w:marRight w:val="0"/>
      <w:marTop w:val="0"/>
      <w:marBottom w:val="0"/>
      <w:divBdr>
        <w:top w:val="none" w:sz="0" w:space="0" w:color="auto"/>
        <w:left w:val="none" w:sz="0" w:space="0" w:color="auto"/>
        <w:bottom w:val="none" w:sz="0" w:space="0" w:color="auto"/>
        <w:right w:val="none" w:sz="0" w:space="0" w:color="auto"/>
      </w:divBdr>
    </w:div>
    <w:div w:id="1418598198">
      <w:bodyDiv w:val="1"/>
      <w:marLeft w:val="0"/>
      <w:marRight w:val="0"/>
      <w:marTop w:val="0"/>
      <w:marBottom w:val="0"/>
      <w:divBdr>
        <w:top w:val="none" w:sz="0" w:space="0" w:color="auto"/>
        <w:left w:val="none" w:sz="0" w:space="0" w:color="auto"/>
        <w:bottom w:val="none" w:sz="0" w:space="0" w:color="auto"/>
        <w:right w:val="none" w:sz="0" w:space="0" w:color="auto"/>
      </w:divBdr>
      <w:divsChild>
        <w:div w:id="258418683">
          <w:marLeft w:val="0"/>
          <w:marRight w:val="0"/>
          <w:marTop w:val="0"/>
          <w:marBottom w:val="0"/>
          <w:divBdr>
            <w:top w:val="none" w:sz="0" w:space="0" w:color="auto"/>
            <w:left w:val="none" w:sz="0" w:space="0" w:color="auto"/>
            <w:bottom w:val="none" w:sz="0" w:space="0" w:color="auto"/>
            <w:right w:val="none" w:sz="0" w:space="0" w:color="auto"/>
          </w:divBdr>
          <w:divsChild>
            <w:div w:id="1497528098">
              <w:marLeft w:val="0"/>
              <w:marRight w:val="0"/>
              <w:marTop w:val="0"/>
              <w:marBottom w:val="0"/>
              <w:divBdr>
                <w:top w:val="none" w:sz="0" w:space="0" w:color="auto"/>
                <w:left w:val="none" w:sz="0" w:space="0" w:color="auto"/>
                <w:bottom w:val="none" w:sz="0" w:space="0" w:color="auto"/>
                <w:right w:val="none" w:sz="0" w:space="0" w:color="auto"/>
              </w:divBdr>
              <w:divsChild>
                <w:div w:id="1054962021">
                  <w:marLeft w:val="0"/>
                  <w:marRight w:val="0"/>
                  <w:marTop w:val="0"/>
                  <w:marBottom w:val="0"/>
                  <w:divBdr>
                    <w:top w:val="none" w:sz="0" w:space="0" w:color="auto"/>
                    <w:left w:val="none" w:sz="0" w:space="0" w:color="auto"/>
                    <w:bottom w:val="none" w:sz="0" w:space="0" w:color="auto"/>
                    <w:right w:val="none" w:sz="0" w:space="0" w:color="auto"/>
                  </w:divBdr>
                  <w:divsChild>
                    <w:div w:id="52929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488618">
      <w:bodyDiv w:val="1"/>
      <w:marLeft w:val="0"/>
      <w:marRight w:val="0"/>
      <w:marTop w:val="0"/>
      <w:marBottom w:val="0"/>
      <w:divBdr>
        <w:top w:val="none" w:sz="0" w:space="0" w:color="auto"/>
        <w:left w:val="none" w:sz="0" w:space="0" w:color="auto"/>
        <w:bottom w:val="none" w:sz="0" w:space="0" w:color="auto"/>
        <w:right w:val="none" w:sz="0" w:space="0" w:color="auto"/>
      </w:divBdr>
    </w:div>
    <w:div w:id="1444110736">
      <w:bodyDiv w:val="1"/>
      <w:marLeft w:val="0"/>
      <w:marRight w:val="0"/>
      <w:marTop w:val="0"/>
      <w:marBottom w:val="0"/>
      <w:divBdr>
        <w:top w:val="none" w:sz="0" w:space="0" w:color="auto"/>
        <w:left w:val="none" w:sz="0" w:space="0" w:color="auto"/>
        <w:bottom w:val="none" w:sz="0" w:space="0" w:color="auto"/>
        <w:right w:val="none" w:sz="0" w:space="0" w:color="auto"/>
      </w:divBdr>
      <w:divsChild>
        <w:div w:id="812065400">
          <w:marLeft w:val="0"/>
          <w:marRight w:val="0"/>
          <w:marTop w:val="0"/>
          <w:marBottom w:val="0"/>
          <w:divBdr>
            <w:top w:val="none" w:sz="0" w:space="0" w:color="auto"/>
            <w:left w:val="none" w:sz="0" w:space="0" w:color="auto"/>
            <w:bottom w:val="none" w:sz="0" w:space="0" w:color="auto"/>
            <w:right w:val="none" w:sz="0" w:space="0" w:color="auto"/>
          </w:divBdr>
          <w:divsChild>
            <w:div w:id="617680481">
              <w:marLeft w:val="0"/>
              <w:marRight w:val="0"/>
              <w:marTop w:val="0"/>
              <w:marBottom w:val="0"/>
              <w:divBdr>
                <w:top w:val="none" w:sz="0" w:space="0" w:color="auto"/>
                <w:left w:val="none" w:sz="0" w:space="0" w:color="auto"/>
                <w:bottom w:val="none" w:sz="0" w:space="0" w:color="auto"/>
                <w:right w:val="none" w:sz="0" w:space="0" w:color="auto"/>
              </w:divBdr>
              <w:divsChild>
                <w:div w:id="1253202401">
                  <w:marLeft w:val="0"/>
                  <w:marRight w:val="0"/>
                  <w:marTop w:val="0"/>
                  <w:marBottom w:val="0"/>
                  <w:divBdr>
                    <w:top w:val="none" w:sz="0" w:space="0" w:color="auto"/>
                    <w:left w:val="none" w:sz="0" w:space="0" w:color="auto"/>
                    <w:bottom w:val="none" w:sz="0" w:space="0" w:color="auto"/>
                    <w:right w:val="none" w:sz="0" w:space="0" w:color="auto"/>
                  </w:divBdr>
                  <w:divsChild>
                    <w:div w:id="493111813">
                      <w:marLeft w:val="0"/>
                      <w:marRight w:val="0"/>
                      <w:marTop w:val="0"/>
                      <w:marBottom w:val="0"/>
                      <w:divBdr>
                        <w:top w:val="none" w:sz="0" w:space="0" w:color="auto"/>
                        <w:left w:val="none" w:sz="0" w:space="0" w:color="auto"/>
                        <w:bottom w:val="none" w:sz="0" w:space="0" w:color="auto"/>
                        <w:right w:val="none" w:sz="0" w:space="0" w:color="auto"/>
                      </w:divBdr>
                      <w:divsChild>
                        <w:div w:id="395864109">
                          <w:marLeft w:val="0"/>
                          <w:marRight w:val="0"/>
                          <w:marTop w:val="0"/>
                          <w:marBottom w:val="0"/>
                          <w:divBdr>
                            <w:top w:val="none" w:sz="0" w:space="0" w:color="auto"/>
                            <w:left w:val="none" w:sz="0" w:space="0" w:color="auto"/>
                            <w:bottom w:val="none" w:sz="0" w:space="0" w:color="auto"/>
                            <w:right w:val="none" w:sz="0" w:space="0" w:color="auto"/>
                          </w:divBdr>
                          <w:divsChild>
                            <w:div w:id="99275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746787">
      <w:bodyDiv w:val="1"/>
      <w:marLeft w:val="0"/>
      <w:marRight w:val="0"/>
      <w:marTop w:val="0"/>
      <w:marBottom w:val="0"/>
      <w:divBdr>
        <w:top w:val="none" w:sz="0" w:space="0" w:color="auto"/>
        <w:left w:val="none" w:sz="0" w:space="0" w:color="auto"/>
        <w:bottom w:val="none" w:sz="0" w:space="0" w:color="auto"/>
        <w:right w:val="none" w:sz="0" w:space="0" w:color="auto"/>
      </w:divBdr>
    </w:div>
    <w:div w:id="1452750558">
      <w:bodyDiv w:val="1"/>
      <w:marLeft w:val="0"/>
      <w:marRight w:val="0"/>
      <w:marTop w:val="0"/>
      <w:marBottom w:val="0"/>
      <w:divBdr>
        <w:top w:val="none" w:sz="0" w:space="0" w:color="auto"/>
        <w:left w:val="none" w:sz="0" w:space="0" w:color="auto"/>
        <w:bottom w:val="none" w:sz="0" w:space="0" w:color="auto"/>
        <w:right w:val="none" w:sz="0" w:space="0" w:color="auto"/>
      </w:divBdr>
      <w:divsChild>
        <w:div w:id="267809856">
          <w:marLeft w:val="0"/>
          <w:marRight w:val="0"/>
          <w:marTop w:val="0"/>
          <w:marBottom w:val="0"/>
          <w:divBdr>
            <w:top w:val="none" w:sz="0" w:space="0" w:color="auto"/>
            <w:left w:val="none" w:sz="0" w:space="0" w:color="auto"/>
            <w:bottom w:val="none" w:sz="0" w:space="0" w:color="auto"/>
            <w:right w:val="none" w:sz="0" w:space="0" w:color="auto"/>
          </w:divBdr>
          <w:divsChild>
            <w:div w:id="1088618923">
              <w:marLeft w:val="0"/>
              <w:marRight w:val="0"/>
              <w:marTop w:val="0"/>
              <w:marBottom w:val="0"/>
              <w:divBdr>
                <w:top w:val="none" w:sz="0" w:space="0" w:color="auto"/>
                <w:left w:val="none" w:sz="0" w:space="0" w:color="auto"/>
                <w:bottom w:val="none" w:sz="0" w:space="0" w:color="auto"/>
                <w:right w:val="none" w:sz="0" w:space="0" w:color="auto"/>
              </w:divBdr>
              <w:divsChild>
                <w:div w:id="262343252">
                  <w:marLeft w:val="0"/>
                  <w:marRight w:val="0"/>
                  <w:marTop w:val="0"/>
                  <w:marBottom w:val="0"/>
                  <w:divBdr>
                    <w:top w:val="none" w:sz="0" w:space="0" w:color="auto"/>
                    <w:left w:val="none" w:sz="0" w:space="0" w:color="auto"/>
                    <w:bottom w:val="none" w:sz="0" w:space="0" w:color="auto"/>
                    <w:right w:val="none" w:sz="0" w:space="0" w:color="auto"/>
                  </w:divBdr>
                  <w:divsChild>
                    <w:div w:id="783039623">
                      <w:marLeft w:val="0"/>
                      <w:marRight w:val="0"/>
                      <w:marTop w:val="0"/>
                      <w:marBottom w:val="0"/>
                      <w:divBdr>
                        <w:top w:val="none" w:sz="0" w:space="0" w:color="auto"/>
                        <w:left w:val="none" w:sz="0" w:space="0" w:color="auto"/>
                        <w:bottom w:val="none" w:sz="0" w:space="0" w:color="auto"/>
                        <w:right w:val="none" w:sz="0" w:space="0" w:color="auto"/>
                      </w:divBdr>
                      <w:divsChild>
                        <w:div w:id="204120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567951">
          <w:marLeft w:val="0"/>
          <w:marRight w:val="0"/>
          <w:marTop w:val="0"/>
          <w:marBottom w:val="0"/>
          <w:divBdr>
            <w:top w:val="none" w:sz="0" w:space="0" w:color="auto"/>
            <w:left w:val="none" w:sz="0" w:space="0" w:color="auto"/>
            <w:bottom w:val="none" w:sz="0" w:space="0" w:color="auto"/>
            <w:right w:val="none" w:sz="0" w:space="0" w:color="auto"/>
          </w:divBdr>
          <w:divsChild>
            <w:div w:id="1391224064">
              <w:marLeft w:val="0"/>
              <w:marRight w:val="0"/>
              <w:marTop w:val="0"/>
              <w:marBottom w:val="0"/>
              <w:divBdr>
                <w:top w:val="none" w:sz="0" w:space="0" w:color="auto"/>
                <w:left w:val="none" w:sz="0" w:space="0" w:color="auto"/>
                <w:bottom w:val="none" w:sz="0" w:space="0" w:color="auto"/>
                <w:right w:val="none" w:sz="0" w:space="0" w:color="auto"/>
              </w:divBdr>
              <w:divsChild>
                <w:div w:id="73670323">
                  <w:marLeft w:val="0"/>
                  <w:marRight w:val="0"/>
                  <w:marTop w:val="0"/>
                  <w:marBottom w:val="0"/>
                  <w:divBdr>
                    <w:top w:val="none" w:sz="0" w:space="0" w:color="auto"/>
                    <w:left w:val="none" w:sz="0" w:space="0" w:color="auto"/>
                    <w:bottom w:val="none" w:sz="0" w:space="0" w:color="auto"/>
                    <w:right w:val="none" w:sz="0" w:space="0" w:color="auto"/>
                  </w:divBdr>
                  <w:divsChild>
                    <w:div w:id="1753238270">
                      <w:marLeft w:val="0"/>
                      <w:marRight w:val="0"/>
                      <w:marTop w:val="0"/>
                      <w:marBottom w:val="0"/>
                      <w:divBdr>
                        <w:top w:val="none" w:sz="0" w:space="0" w:color="auto"/>
                        <w:left w:val="none" w:sz="0" w:space="0" w:color="auto"/>
                        <w:bottom w:val="none" w:sz="0" w:space="0" w:color="auto"/>
                        <w:right w:val="none" w:sz="0" w:space="0" w:color="auto"/>
                      </w:divBdr>
                      <w:divsChild>
                        <w:div w:id="825975734">
                          <w:marLeft w:val="0"/>
                          <w:marRight w:val="0"/>
                          <w:marTop w:val="0"/>
                          <w:marBottom w:val="0"/>
                          <w:divBdr>
                            <w:top w:val="none" w:sz="0" w:space="0" w:color="auto"/>
                            <w:left w:val="none" w:sz="0" w:space="0" w:color="auto"/>
                            <w:bottom w:val="none" w:sz="0" w:space="0" w:color="auto"/>
                            <w:right w:val="none" w:sz="0" w:space="0" w:color="auto"/>
                          </w:divBdr>
                          <w:divsChild>
                            <w:div w:id="374475584">
                              <w:marLeft w:val="0"/>
                              <w:marRight w:val="0"/>
                              <w:marTop w:val="0"/>
                              <w:marBottom w:val="0"/>
                              <w:divBdr>
                                <w:top w:val="none" w:sz="0" w:space="0" w:color="auto"/>
                                <w:left w:val="none" w:sz="0" w:space="0" w:color="auto"/>
                                <w:bottom w:val="none" w:sz="0" w:space="0" w:color="auto"/>
                                <w:right w:val="none" w:sz="0" w:space="0" w:color="auto"/>
                              </w:divBdr>
                              <w:divsChild>
                                <w:div w:id="1705254074">
                                  <w:marLeft w:val="0"/>
                                  <w:marRight w:val="0"/>
                                  <w:marTop w:val="0"/>
                                  <w:marBottom w:val="0"/>
                                  <w:divBdr>
                                    <w:top w:val="none" w:sz="0" w:space="0" w:color="auto"/>
                                    <w:left w:val="none" w:sz="0" w:space="0" w:color="auto"/>
                                    <w:bottom w:val="none" w:sz="0" w:space="0" w:color="auto"/>
                                    <w:right w:val="none" w:sz="0" w:space="0" w:color="auto"/>
                                  </w:divBdr>
                                  <w:divsChild>
                                    <w:div w:id="22815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110282">
      <w:bodyDiv w:val="1"/>
      <w:marLeft w:val="0"/>
      <w:marRight w:val="0"/>
      <w:marTop w:val="0"/>
      <w:marBottom w:val="0"/>
      <w:divBdr>
        <w:top w:val="none" w:sz="0" w:space="0" w:color="auto"/>
        <w:left w:val="none" w:sz="0" w:space="0" w:color="auto"/>
        <w:bottom w:val="none" w:sz="0" w:space="0" w:color="auto"/>
        <w:right w:val="none" w:sz="0" w:space="0" w:color="auto"/>
      </w:divBdr>
      <w:divsChild>
        <w:div w:id="1074857867">
          <w:marLeft w:val="0"/>
          <w:marRight w:val="0"/>
          <w:marTop w:val="0"/>
          <w:marBottom w:val="0"/>
          <w:divBdr>
            <w:top w:val="none" w:sz="0" w:space="0" w:color="auto"/>
            <w:left w:val="none" w:sz="0" w:space="0" w:color="auto"/>
            <w:bottom w:val="none" w:sz="0" w:space="0" w:color="auto"/>
            <w:right w:val="none" w:sz="0" w:space="0" w:color="auto"/>
          </w:divBdr>
        </w:div>
      </w:divsChild>
    </w:div>
    <w:div w:id="1464619117">
      <w:bodyDiv w:val="1"/>
      <w:marLeft w:val="0"/>
      <w:marRight w:val="0"/>
      <w:marTop w:val="0"/>
      <w:marBottom w:val="0"/>
      <w:divBdr>
        <w:top w:val="none" w:sz="0" w:space="0" w:color="auto"/>
        <w:left w:val="none" w:sz="0" w:space="0" w:color="auto"/>
        <w:bottom w:val="none" w:sz="0" w:space="0" w:color="auto"/>
        <w:right w:val="none" w:sz="0" w:space="0" w:color="auto"/>
      </w:divBdr>
    </w:div>
    <w:div w:id="1524050088">
      <w:bodyDiv w:val="1"/>
      <w:marLeft w:val="0"/>
      <w:marRight w:val="0"/>
      <w:marTop w:val="0"/>
      <w:marBottom w:val="0"/>
      <w:divBdr>
        <w:top w:val="none" w:sz="0" w:space="0" w:color="auto"/>
        <w:left w:val="none" w:sz="0" w:space="0" w:color="auto"/>
        <w:bottom w:val="none" w:sz="0" w:space="0" w:color="auto"/>
        <w:right w:val="none" w:sz="0" w:space="0" w:color="auto"/>
      </w:divBdr>
    </w:div>
    <w:div w:id="1548880008">
      <w:bodyDiv w:val="1"/>
      <w:marLeft w:val="0"/>
      <w:marRight w:val="0"/>
      <w:marTop w:val="0"/>
      <w:marBottom w:val="0"/>
      <w:divBdr>
        <w:top w:val="none" w:sz="0" w:space="0" w:color="auto"/>
        <w:left w:val="none" w:sz="0" w:space="0" w:color="auto"/>
        <w:bottom w:val="none" w:sz="0" w:space="0" w:color="auto"/>
        <w:right w:val="none" w:sz="0" w:space="0" w:color="auto"/>
      </w:divBdr>
    </w:div>
    <w:div w:id="1553886115">
      <w:bodyDiv w:val="1"/>
      <w:marLeft w:val="0"/>
      <w:marRight w:val="0"/>
      <w:marTop w:val="0"/>
      <w:marBottom w:val="0"/>
      <w:divBdr>
        <w:top w:val="none" w:sz="0" w:space="0" w:color="auto"/>
        <w:left w:val="none" w:sz="0" w:space="0" w:color="auto"/>
        <w:bottom w:val="none" w:sz="0" w:space="0" w:color="auto"/>
        <w:right w:val="none" w:sz="0" w:space="0" w:color="auto"/>
      </w:divBdr>
      <w:divsChild>
        <w:div w:id="702362686">
          <w:marLeft w:val="0"/>
          <w:marRight w:val="0"/>
          <w:marTop w:val="0"/>
          <w:marBottom w:val="0"/>
          <w:divBdr>
            <w:top w:val="none" w:sz="0" w:space="0" w:color="auto"/>
            <w:left w:val="none" w:sz="0" w:space="0" w:color="auto"/>
            <w:bottom w:val="none" w:sz="0" w:space="0" w:color="auto"/>
            <w:right w:val="none" w:sz="0" w:space="0" w:color="auto"/>
          </w:divBdr>
        </w:div>
        <w:div w:id="993991541">
          <w:marLeft w:val="0"/>
          <w:marRight w:val="0"/>
          <w:marTop w:val="0"/>
          <w:marBottom w:val="0"/>
          <w:divBdr>
            <w:top w:val="none" w:sz="0" w:space="0" w:color="auto"/>
            <w:left w:val="none" w:sz="0" w:space="0" w:color="auto"/>
            <w:bottom w:val="none" w:sz="0" w:space="0" w:color="auto"/>
            <w:right w:val="none" w:sz="0" w:space="0" w:color="auto"/>
          </w:divBdr>
        </w:div>
        <w:div w:id="1172525804">
          <w:marLeft w:val="0"/>
          <w:marRight w:val="0"/>
          <w:marTop w:val="0"/>
          <w:marBottom w:val="0"/>
          <w:divBdr>
            <w:top w:val="none" w:sz="0" w:space="0" w:color="auto"/>
            <w:left w:val="none" w:sz="0" w:space="0" w:color="auto"/>
            <w:bottom w:val="none" w:sz="0" w:space="0" w:color="auto"/>
            <w:right w:val="none" w:sz="0" w:space="0" w:color="auto"/>
          </w:divBdr>
        </w:div>
        <w:div w:id="1461149040">
          <w:marLeft w:val="0"/>
          <w:marRight w:val="0"/>
          <w:marTop w:val="0"/>
          <w:marBottom w:val="0"/>
          <w:divBdr>
            <w:top w:val="none" w:sz="0" w:space="0" w:color="auto"/>
            <w:left w:val="none" w:sz="0" w:space="0" w:color="auto"/>
            <w:bottom w:val="none" w:sz="0" w:space="0" w:color="auto"/>
            <w:right w:val="none" w:sz="0" w:space="0" w:color="auto"/>
          </w:divBdr>
        </w:div>
      </w:divsChild>
    </w:div>
    <w:div w:id="1557231504">
      <w:bodyDiv w:val="1"/>
      <w:marLeft w:val="0"/>
      <w:marRight w:val="0"/>
      <w:marTop w:val="0"/>
      <w:marBottom w:val="0"/>
      <w:divBdr>
        <w:top w:val="none" w:sz="0" w:space="0" w:color="auto"/>
        <w:left w:val="none" w:sz="0" w:space="0" w:color="auto"/>
        <w:bottom w:val="none" w:sz="0" w:space="0" w:color="auto"/>
        <w:right w:val="none" w:sz="0" w:space="0" w:color="auto"/>
      </w:divBdr>
    </w:div>
    <w:div w:id="1564245991">
      <w:bodyDiv w:val="1"/>
      <w:marLeft w:val="0"/>
      <w:marRight w:val="0"/>
      <w:marTop w:val="0"/>
      <w:marBottom w:val="0"/>
      <w:divBdr>
        <w:top w:val="none" w:sz="0" w:space="0" w:color="auto"/>
        <w:left w:val="none" w:sz="0" w:space="0" w:color="auto"/>
        <w:bottom w:val="none" w:sz="0" w:space="0" w:color="auto"/>
        <w:right w:val="none" w:sz="0" w:space="0" w:color="auto"/>
      </w:divBdr>
    </w:div>
    <w:div w:id="1633629853">
      <w:bodyDiv w:val="1"/>
      <w:marLeft w:val="0"/>
      <w:marRight w:val="0"/>
      <w:marTop w:val="0"/>
      <w:marBottom w:val="0"/>
      <w:divBdr>
        <w:top w:val="none" w:sz="0" w:space="0" w:color="auto"/>
        <w:left w:val="none" w:sz="0" w:space="0" w:color="auto"/>
        <w:bottom w:val="none" w:sz="0" w:space="0" w:color="auto"/>
        <w:right w:val="none" w:sz="0" w:space="0" w:color="auto"/>
      </w:divBdr>
    </w:div>
    <w:div w:id="1641760925">
      <w:bodyDiv w:val="1"/>
      <w:marLeft w:val="0"/>
      <w:marRight w:val="0"/>
      <w:marTop w:val="0"/>
      <w:marBottom w:val="0"/>
      <w:divBdr>
        <w:top w:val="none" w:sz="0" w:space="0" w:color="auto"/>
        <w:left w:val="none" w:sz="0" w:space="0" w:color="auto"/>
        <w:bottom w:val="none" w:sz="0" w:space="0" w:color="auto"/>
        <w:right w:val="none" w:sz="0" w:space="0" w:color="auto"/>
      </w:divBdr>
    </w:div>
    <w:div w:id="1643922453">
      <w:bodyDiv w:val="1"/>
      <w:marLeft w:val="0"/>
      <w:marRight w:val="0"/>
      <w:marTop w:val="0"/>
      <w:marBottom w:val="0"/>
      <w:divBdr>
        <w:top w:val="none" w:sz="0" w:space="0" w:color="auto"/>
        <w:left w:val="none" w:sz="0" w:space="0" w:color="auto"/>
        <w:bottom w:val="none" w:sz="0" w:space="0" w:color="auto"/>
        <w:right w:val="none" w:sz="0" w:space="0" w:color="auto"/>
      </w:divBdr>
    </w:div>
    <w:div w:id="1693920693">
      <w:bodyDiv w:val="1"/>
      <w:marLeft w:val="0"/>
      <w:marRight w:val="0"/>
      <w:marTop w:val="0"/>
      <w:marBottom w:val="0"/>
      <w:divBdr>
        <w:top w:val="none" w:sz="0" w:space="0" w:color="auto"/>
        <w:left w:val="none" w:sz="0" w:space="0" w:color="auto"/>
        <w:bottom w:val="none" w:sz="0" w:space="0" w:color="auto"/>
        <w:right w:val="none" w:sz="0" w:space="0" w:color="auto"/>
      </w:divBdr>
    </w:div>
    <w:div w:id="1705325096">
      <w:bodyDiv w:val="1"/>
      <w:marLeft w:val="0"/>
      <w:marRight w:val="0"/>
      <w:marTop w:val="0"/>
      <w:marBottom w:val="0"/>
      <w:divBdr>
        <w:top w:val="none" w:sz="0" w:space="0" w:color="auto"/>
        <w:left w:val="none" w:sz="0" w:space="0" w:color="auto"/>
        <w:bottom w:val="none" w:sz="0" w:space="0" w:color="auto"/>
        <w:right w:val="none" w:sz="0" w:space="0" w:color="auto"/>
      </w:divBdr>
    </w:div>
    <w:div w:id="1733694051">
      <w:bodyDiv w:val="1"/>
      <w:marLeft w:val="0"/>
      <w:marRight w:val="0"/>
      <w:marTop w:val="0"/>
      <w:marBottom w:val="0"/>
      <w:divBdr>
        <w:top w:val="none" w:sz="0" w:space="0" w:color="auto"/>
        <w:left w:val="none" w:sz="0" w:space="0" w:color="auto"/>
        <w:bottom w:val="none" w:sz="0" w:space="0" w:color="auto"/>
        <w:right w:val="none" w:sz="0" w:space="0" w:color="auto"/>
      </w:divBdr>
    </w:div>
    <w:div w:id="1752971108">
      <w:bodyDiv w:val="1"/>
      <w:marLeft w:val="0"/>
      <w:marRight w:val="0"/>
      <w:marTop w:val="0"/>
      <w:marBottom w:val="0"/>
      <w:divBdr>
        <w:top w:val="none" w:sz="0" w:space="0" w:color="auto"/>
        <w:left w:val="none" w:sz="0" w:space="0" w:color="auto"/>
        <w:bottom w:val="none" w:sz="0" w:space="0" w:color="auto"/>
        <w:right w:val="none" w:sz="0" w:space="0" w:color="auto"/>
      </w:divBdr>
    </w:div>
    <w:div w:id="1755664190">
      <w:bodyDiv w:val="1"/>
      <w:marLeft w:val="0"/>
      <w:marRight w:val="0"/>
      <w:marTop w:val="0"/>
      <w:marBottom w:val="0"/>
      <w:divBdr>
        <w:top w:val="none" w:sz="0" w:space="0" w:color="auto"/>
        <w:left w:val="none" w:sz="0" w:space="0" w:color="auto"/>
        <w:bottom w:val="none" w:sz="0" w:space="0" w:color="auto"/>
        <w:right w:val="none" w:sz="0" w:space="0" w:color="auto"/>
      </w:divBdr>
    </w:div>
    <w:div w:id="1776904824">
      <w:bodyDiv w:val="1"/>
      <w:marLeft w:val="0"/>
      <w:marRight w:val="0"/>
      <w:marTop w:val="0"/>
      <w:marBottom w:val="0"/>
      <w:divBdr>
        <w:top w:val="none" w:sz="0" w:space="0" w:color="auto"/>
        <w:left w:val="none" w:sz="0" w:space="0" w:color="auto"/>
        <w:bottom w:val="none" w:sz="0" w:space="0" w:color="auto"/>
        <w:right w:val="none" w:sz="0" w:space="0" w:color="auto"/>
      </w:divBdr>
    </w:div>
    <w:div w:id="1795443509">
      <w:bodyDiv w:val="1"/>
      <w:marLeft w:val="0"/>
      <w:marRight w:val="0"/>
      <w:marTop w:val="0"/>
      <w:marBottom w:val="0"/>
      <w:divBdr>
        <w:top w:val="none" w:sz="0" w:space="0" w:color="auto"/>
        <w:left w:val="none" w:sz="0" w:space="0" w:color="auto"/>
        <w:bottom w:val="none" w:sz="0" w:space="0" w:color="auto"/>
        <w:right w:val="none" w:sz="0" w:space="0" w:color="auto"/>
      </w:divBdr>
    </w:div>
    <w:div w:id="1804499533">
      <w:bodyDiv w:val="1"/>
      <w:marLeft w:val="0"/>
      <w:marRight w:val="0"/>
      <w:marTop w:val="0"/>
      <w:marBottom w:val="0"/>
      <w:divBdr>
        <w:top w:val="none" w:sz="0" w:space="0" w:color="auto"/>
        <w:left w:val="none" w:sz="0" w:space="0" w:color="auto"/>
        <w:bottom w:val="none" w:sz="0" w:space="0" w:color="auto"/>
        <w:right w:val="none" w:sz="0" w:space="0" w:color="auto"/>
      </w:divBdr>
    </w:div>
    <w:div w:id="1810976625">
      <w:bodyDiv w:val="1"/>
      <w:marLeft w:val="0"/>
      <w:marRight w:val="0"/>
      <w:marTop w:val="0"/>
      <w:marBottom w:val="0"/>
      <w:divBdr>
        <w:top w:val="none" w:sz="0" w:space="0" w:color="auto"/>
        <w:left w:val="none" w:sz="0" w:space="0" w:color="auto"/>
        <w:bottom w:val="none" w:sz="0" w:space="0" w:color="auto"/>
        <w:right w:val="none" w:sz="0" w:space="0" w:color="auto"/>
      </w:divBdr>
      <w:divsChild>
        <w:div w:id="1523779380">
          <w:marLeft w:val="0"/>
          <w:marRight w:val="0"/>
          <w:marTop w:val="0"/>
          <w:marBottom w:val="0"/>
          <w:divBdr>
            <w:top w:val="none" w:sz="0" w:space="0" w:color="auto"/>
            <w:left w:val="none" w:sz="0" w:space="0" w:color="auto"/>
            <w:bottom w:val="none" w:sz="0" w:space="0" w:color="auto"/>
            <w:right w:val="none" w:sz="0" w:space="0" w:color="auto"/>
          </w:divBdr>
          <w:divsChild>
            <w:div w:id="181424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773880">
      <w:bodyDiv w:val="1"/>
      <w:marLeft w:val="0"/>
      <w:marRight w:val="0"/>
      <w:marTop w:val="0"/>
      <w:marBottom w:val="0"/>
      <w:divBdr>
        <w:top w:val="none" w:sz="0" w:space="0" w:color="auto"/>
        <w:left w:val="none" w:sz="0" w:space="0" w:color="auto"/>
        <w:bottom w:val="none" w:sz="0" w:space="0" w:color="auto"/>
        <w:right w:val="none" w:sz="0" w:space="0" w:color="auto"/>
      </w:divBdr>
    </w:div>
    <w:div w:id="1841313345">
      <w:bodyDiv w:val="1"/>
      <w:marLeft w:val="0"/>
      <w:marRight w:val="0"/>
      <w:marTop w:val="0"/>
      <w:marBottom w:val="0"/>
      <w:divBdr>
        <w:top w:val="none" w:sz="0" w:space="0" w:color="auto"/>
        <w:left w:val="none" w:sz="0" w:space="0" w:color="auto"/>
        <w:bottom w:val="none" w:sz="0" w:space="0" w:color="auto"/>
        <w:right w:val="none" w:sz="0" w:space="0" w:color="auto"/>
      </w:divBdr>
    </w:div>
    <w:div w:id="1844591660">
      <w:bodyDiv w:val="1"/>
      <w:marLeft w:val="0"/>
      <w:marRight w:val="0"/>
      <w:marTop w:val="0"/>
      <w:marBottom w:val="0"/>
      <w:divBdr>
        <w:top w:val="none" w:sz="0" w:space="0" w:color="auto"/>
        <w:left w:val="none" w:sz="0" w:space="0" w:color="auto"/>
        <w:bottom w:val="none" w:sz="0" w:space="0" w:color="auto"/>
        <w:right w:val="none" w:sz="0" w:space="0" w:color="auto"/>
      </w:divBdr>
    </w:div>
    <w:div w:id="1845440852">
      <w:bodyDiv w:val="1"/>
      <w:marLeft w:val="0"/>
      <w:marRight w:val="0"/>
      <w:marTop w:val="0"/>
      <w:marBottom w:val="0"/>
      <w:divBdr>
        <w:top w:val="none" w:sz="0" w:space="0" w:color="auto"/>
        <w:left w:val="none" w:sz="0" w:space="0" w:color="auto"/>
        <w:bottom w:val="none" w:sz="0" w:space="0" w:color="auto"/>
        <w:right w:val="none" w:sz="0" w:space="0" w:color="auto"/>
      </w:divBdr>
    </w:div>
    <w:div w:id="1885409309">
      <w:bodyDiv w:val="1"/>
      <w:marLeft w:val="0"/>
      <w:marRight w:val="0"/>
      <w:marTop w:val="0"/>
      <w:marBottom w:val="0"/>
      <w:divBdr>
        <w:top w:val="none" w:sz="0" w:space="0" w:color="auto"/>
        <w:left w:val="none" w:sz="0" w:space="0" w:color="auto"/>
        <w:bottom w:val="none" w:sz="0" w:space="0" w:color="auto"/>
        <w:right w:val="none" w:sz="0" w:space="0" w:color="auto"/>
      </w:divBdr>
      <w:divsChild>
        <w:div w:id="1453481199">
          <w:marLeft w:val="0"/>
          <w:marRight w:val="0"/>
          <w:marTop w:val="0"/>
          <w:marBottom w:val="0"/>
          <w:divBdr>
            <w:top w:val="none" w:sz="0" w:space="0" w:color="auto"/>
            <w:left w:val="none" w:sz="0" w:space="0" w:color="auto"/>
            <w:bottom w:val="none" w:sz="0" w:space="0" w:color="auto"/>
            <w:right w:val="none" w:sz="0" w:space="0" w:color="auto"/>
          </w:divBdr>
        </w:div>
      </w:divsChild>
    </w:div>
    <w:div w:id="1902322199">
      <w:bodyDiv w:val="1"/>
      <w:marLeft w:val="0"/>
      <w:marRight w:val="0"/>
      <w:marTop w:val="0"/>
      <w:marBottom w:val="0"/>
      <w:divBdr>
        <w:top w:val="none" w:sz="0" w:space="0" w:color="auto"/>
        <w:left w:val="none" w:sz="0" w:space="0" w:color="auto"/>
        <w:bottom w:val="none" w:sz="0" w:space="0" w:color="auto"/>
        <w:right w:val="none" w:sz="0" w:space="0" w:color="auto"/>
      </w:divBdr>
    </w:div>
    <w:div w:id="1919514746">
      <w:bodyDiv w:val="1"/>
      <w:marLeft w:val="0"/>
      <w:marRight w:val="0"/>
      <w:marTop w:val="0"/>
      <w:marBottom w:val="0"/>
      <w:divBdr>
        <w:top w:val="none" w:sz="0" w:space="0" w:color="auto"/>
        <w:left w:val="none" w:sz="0" w:space="0" w:color="auto"/>
        <w:bottom w:val="none" w:sz="0" w:space="0" w:color="auto"/>
        <w:right w:val="none" w:sz="0" w:space="0" w:color="auto"/>
      </w:divBdr>
      <w:divsChild>
        <w:div w:id="36467741">
          <w:marLeft w:val="0"/>
          <w:marRight w:val="0"/>
          <w:marTop w:val="0"/>
          <w:marBottom w:val="0"/>
          <w:divBdr>
            <w:top w:val="none" w:sz="0" w:space="0" w:color="auto"/>
            <w:left w:val="none" w:sz="0" w:space="0" w:color="auto"/>
            <w:bottom w:val="none" w:sz="0" w:space="0" w:color="auto"/>
            <w:right w:val="none" w:sz="0" w:space="0" w:color="auto"/>
          </w:divBdr>
        </w:div>
        <w:div w:id="69695726">
          <w:marLeft w:val="0"/>
          <w:marRight w:val="0"/>
          <w:marTop w:val="0"/>
          <w:marBottom w:val="0"/>
          <w:divBdr>
            <w:top w:val="none" w:sz="0" w:space="0" w:color="auto"/>
            <w:left w:val="none" w:sz="0" w:space="0" w:color="auto"/>
            <w:bottom w:val="none" w:sz="0" w:space="0" w:color="auto"/>
            <w:right w:val="none" w:sz="0" w:space="0" w:color="auto"/>
          </w:divBdr>
        </w:div>
        <w:div w:id="329069413">
          <w:marLeft w:val="0"/>
          <w:marRight w:val="0"/>
          <w:marTop w:val="0"/>
          <w:marBottom w:val="0"/>
          <w:divBdr>
            <w:top w:val="none" w:sz="0" w:space="0" w:color="auto"/>
            <w:left w:val="none" w:sz="0" w:space="0" w:color="auto"/>
            <w:bottom w:val="none" w:sz="0" w:space="0" w:color="auto"/>
            <w:right w:val="none" w:sz="0" w:space="0" w:color="auto"/>
          </w:divBdr>
        </w:div>
        <w:div w:id="354886438">
          <w:marLeft w:val="0"/>
          <w:marRight w:val="0"/>
          <w:marTop w:val="0"/>
          <w:marBottom w:val="0"/>
          <w:divBdr>
            <w:top w:val="none" w:sz="0" w:space="0" w:color="auto"/>
            <w:left w:val="none" w:sz="0" w:space="0" w:color="auto"/>
            <w:bottom w:val="none" w:sz="0" w:space="0" w:color="auto"/>
            <w:right w:val="none" w:sz="0" w:space="0" w:color="auto"/>
          </w:divBdr>
        </w:div>
        <w:div w:id="414789072">
          <w:marLeft w:val="0"/>
          <w:marRight w:val="0"/>
          <w:marTop w:val="0"/>
          <w:marBottom w:val="0"/>
          <w:divBdr>
            <w:top w:val="none" w:sz="0" w:space="0" w:color="auto"/>
            <w:left w:val="none" w:sz="0" w:space="0" w:color="auto"/>
            <w:bottom w:val="none" w:sz="0" w:space="0" w:color="auto"/>
            <w:right w:val="none" w:sz="0" w:space="0" w:color="auto"/>
          </w:divBdr>
        </w:div>
        <w:div w:id="442923981">
          <w:marLeft w:val="0"/>
          <w:marRight w:val="0"/>
          <w:marTop w:val="0"/>
          <w:marBottom w:val="0"/>
          <w:divBdr>
            <w:top w:val="none" w:sz="0" w:space="0" w:color="auto"/>
            <w:left w:val="none" w:sz="0" w:space="0" w:color="auto"/>
            <w:bottom w:val="none" w:sz="0" w:space="0" w:color="auto"/>
            <w:right w:val="none" w:sz="0" w:space="0" w:color="auto"/>
          </w:divBdr>
        </w:div>
        <w:div w:id="494763659">
          <w:marLeft w:val="0"/>
          <w:marRight w:val="0"/>
          <w:marTop w:val="0"/>
          <w:marBottom w:val="0"/>
          <w:divBdr>
            <w:top w:val="none" w:sz="0" w:space="0" w:color="auto"/>
            <w:left w:val="none" w:sz="0" w:space="0" w:color="auto"/>
            <w:bottom w:val="none" w:sz="0" w:space="0" w:color="auto"/>
            <w:right w:val="none" w:sz="0" w:space="0" w:color="auto"/>
          </w:divBdr>
          <w:divsChild>
            <w:div w:id="942298933">
              <w:marLeft w:val="-75"/>
              <w:marRight w:val="0"/>
              <w:marTop w:val="30"/>
              <w:marBottom w:val="30"/>
              <w:divBdr>
                <w:top w:val="none" w:sz="0" w:space="0" w:color="auto"/>
                <w:left w:val="none" w:sz="0" w:space="0" w:color="auto"/>
                <w:bottom w:val="none" w:sz="0" w:space="0" w:color="auto"/>
                <w:right w:val="none" w:sz="0" w:space="0" w:color="auto"/>
              </w:divBdr>
              <w:divsChild>
                <w:div w:id="113671330">
                  <w:marLeft w:val="0"/>
                  <w:marRight w:val="0"/>
                  <w:marTop w:val="0"/>
                  <w:marBottom w:val="0"/>
                  <w:divBdr>
                    <w:top w:val="none" w:sz="0" w:space="0" w:color="auto"/>
                    <w:left w:val="none" w:sz="0" w:space="0" w:color="auto"/>
                    <w:bottom w:val="none" w:sz="0" w:space="0" w:color="auto"/>
                    <w:right w:val="none" w:sz="0" w:space="0" w:color="auto"/>
                  </w:divBdr>
                  <w:divsChild>
                    <w:div w:id="541598749">
                      <w:marLeft w:val="0"/>
                      <w:marRight w:val="0"/>
                      <w:marTop w:val="0"/>
                      <w:marBottom w:val="0"/>
                      <w:divBdr>
                        <w:top w:val="none" w:sz="0" w:space="0" w:color="auto"/>
                        <w:left w:val="none" w:sz="0" w:space="0" w:color="auto"/>
                        <w:bottom w:val="none" w:sz="0" w:space="0" w:color="auto"/>
                        <w:right w:val="none" w:sz="0" w:space="0" w:color="auto"/>
                      </w:divBdr>
                    </w:div>
                  </w:divsChild>
                </w:div>
                <w:div w:id="153299371">
                  <w:marLeft w:val="0"/>
                  <w:marRight w:val="0"/>
                  <w:marTop w:val="0"/>
                  <w:marBottom w:val="0"/>
                  <w:divBdr>
                    <w:top w:val="none" w:sz="0" w:space="0" w:color="auto"/>
                    <w:left w:val="none" w:sz="0" w:space="0" w:color="auto"/>
                    <w:bottom w:val="none" w:sz="0" w:space="0" w:color="auto"/>
                    <w:right w:val="none" w:sz="0" w:space="0" w:color="auto"/>
                  </w:divBdr>
                  <w:divsChild>
                    <w:div w:id="1955598848">
                      <w:marLeft w:val="0"/>
                      <w:marRight w:val="0"/>
                      <w:marTop w:val="0"/>
                      <w:marBottom w:val="0"/>
                      <w:divBdr>
                        <w:top w:val="none" w:sz="0" w:space="0" w:color="auto"/>
                        <w:left w:val="none" w:sz="0" w:space="0" w:color="auto"/>
                        <w:bottom w:val="none" w:sz="0" w:space="0" w:color="auto"/>
                        <w:right w:val="none" w:sz="0" w:space="0" w:color="auto"/>
                      </w:divBdr>
                    </w:div>
                  </w:divsChild>
                </w:div>
                <w:div w:id="188691078">
                  <w:marLeft w:val="0"/>
                  <w:marRight w:val="0"/>
                  <w:marTop w:val="0"/>
                  <w:marBottom w:val="0"/>
                  <w:divBdr>
                    <w:top w:val="none" w:sz="0" w:space="0" w:color="auto"/>
                    <w:left w:val="none" w:sz="0" w:space="0" w:color="auto"/>
                    <w:bottom w:val="none" w:sz="0" w:space="0" w:color="auto"/>
                    <w:right w:val="none" w:sz="0" w:space="0" w:color="auto"/>
                  </w:divBdr>
                  <w:divsChild>
                    <w:div w:id="2118939249">
                      <w:marLeft w:val="0"/>
                      <w:marRight w:val="0"/>
                      <w:marTop w:val="0"/>
                      <w:marBottom w:val="0"/>
                      <w:divBdr>
                        <w:top w:val="none" w:sz="0" w:space="0" w:color="auto"/>
                        <w:left w:val="none" w:sz="0" w:space="0" w:color="auto"/>
                        <w:bottom w:val="none" w:sz="0" w:space="0" w:color="auto"/>
                        <w:right w:val="none" w:sz="0" w:space="0" w:color="auto"/>
                      </w:divBdr>
                    </w:div>
                  </w:divsChild>
                </w:div>
                <w:div w:id="197737866">
                  <w:marLeft w:val="0"/>
                  <w:marRight w:val="0"/>
                  <w:marTop w:val="0"/>
                  <w:marBottom w:val="0"/>
                  <w:divBdr>
                    <w:top w:val="none" w:sz="0" w:space="0" w:color="auto"/>
                    <w:left w:val="none" w:sz="0" w:space="0" w:color="auto"/>
                    <w:bottom w:val="none" w:sz="0" w:space="0" w:color="auto"/>
                    <w:right w:val="none" w:sz="0" w:space="0" w:color="auto"/>
                  </w:divBdr>
                  <w:divsChild>
                    <w:div w:id="1856112234">
                      <w:marLeft w:val="0"/>
                      <w:marRight w:val="0"/>
                      <w:marTop w:val="0"/>
                      <w:marBottom w:val="0"/>
                      <w:divBdr>
                        <w:top w:val="none" w:sz="0" w:space="0" w:color="auto"/>
                        <w:left w:val="none" w:sz="0" w:space="0" w:color="auto"/>
                        <w:bottom w:val="none" w:sz="0" w:space="0" w:color="auto"/>
                        <w:right w:val="none" w:sz="0" w:space="0" w:color="auto"/>
                      </w:divBdr>
                    </w:div>
                  </w:divsChild>
                </w:div>
                <w:div w:id="200939622">
                  <w:marLeft w:val="0"/>
                  <w:marRight w:val="0"/>
                  <w:marTop w:val="0"/>
                  <w:marBottom w:val="0"/>
                  <w:divBdr>
                    <w:top w:val="none" w:sz="0" w:space="0" w:color="auto"/>
                    <w:left w:val="none" w:sz="0" w:space="0" w:color="auto"/>
                    <w:bottom w:val="none" w:sz="0" w:space="0" w:color="auto"/>
                    <w:right w:val="none" w:sz="0" w:space="0" w:color="auto"/>
                  </w:divBdr>
                  <w:divsChild>
                    <w:div w:id="1480730917">
                      <w:marLeft w:val="0"/>
                      <w:marRight w:val="0"/>
                      <w:marTop w:val="0"/>
                      <w:marBottom w:val="0"/>
                      <w:divBdr>
                        <w:top w:val="none" w:sz="0" w:space="0" w:color="auto"/>
                        <w:left w:val="none" w:sz="0" w:space="0" w:color="auto"/>
                        <w:bottom w:val="none" w:sz="0" w:space="0" w:color="auto"/>
                        <w:right w:val="none" w:sz="0" w:space="0" w:color="auto"/>
                      </w:divBdr>
                    </w:div>
                  </w:divsChild>
                </w:div>
                <w:div w:id="285820520">
                  <w:marLeft w:val="0"/>
                  <w:marRight w:val="0"/>
                  <w:marTop w:val="0"/>
                  <w:marBottom w:val="0"/>
                  <w:divBdr>
                    <w:top w:val="none" w:sz="0" w:space="0" w:color="auto"/>
                    <w:left w:val="none" w:sz="0" w:space="0" w:color="auto"/>
                    <w:bottom w:val="none" w:sz="0" w:space="0" w:color="auto"/>
                    <w:right w:val="none" w:sz="0" w:space="0" w:color="auto"/>
                  </w:divBdr>
                  <w:divsChild>
                    <w:div w:id="1139029246">
                      <w:marLeft w:val="0"/>
                      <w:marRight w:val="0"/>
                      <w:marTop w:val="0"/>
                      <w:marBottom w:val="0"/>
                      <w:divBdr>
                        <w:top w:val="none" w:sz="0" w:space="0" w:color="auto"/>
                        <w:left w:val="none" w:sz="0" w:space="0" w:color="auto"/>
                        <w:bottom w:val="none" w:sz="0" w:space="0" w:color="auto"/>
                        <w:right w:val="none" w:sz="0" w:space="0" w:color="auto"/>
                      </w:divBdr>
                    </w:div>
                  </w:divsChild>
                </w:div>
                <w:div w:id="370568465">
                  <w:marLeft w:val="0"/>
                  <w:marRight w:val="0"/>
                  <w:marTop w:val="0"/>
                  <w:marBottom w:val="0"/>
                  <w:divBdr>
                    <w:top w:val="none" w:sz="0" w:space="0" w:color="auto"/>
                    <w:left w:val="none" w:sz="0" w:space="0" w:color="auto"/>
                    <w:bottom w:val="none" w:sz="0" w:space="0" w:color="auto"/>
                    <w:right w:val="none" w:sz="0" w:space="0" w:color="auto"/>
                  </w:divBdr>
                  <w:divsChild>
                    <w:div w:id="111749921">
                      <w:marLeft w:val="0"/>
                      <w:marRight w:val="0"/>
                      <w:marTop w:val="0"/>
                      <w:marBottom w:val="0"/>
                      <w:divBdr>
                        <w:top w:val="none" w:sz="0" w:space="0" w:color="auto"/>
                        <w:left w:val="none" w:sz="0" w:space="0" w:color="auto"/>
                        <w:bottom w:val="none" w:sz="0" w:space="0" w:color="auto"/>
                        <w:right w:val="none" w:sz="0" w:space="0" w:color="auto"/>
                      </w:divBdr>
                    </w:div>
                  </w:divsChild>
                </w:div>
                <w:div w:id="377167623">
                  <w:marLeft w:val="0"/>
                  <w:marRight w:val="0"/>
                  <w:marTop w:val="0"/>
                  <w:marBottom w:val="0"/>
                  <w:divBdr>
                    <w:top w:val="none" w:sz="0" w:space="0" w:color="auto"/>
                    <w:left w:val="none" w:sz="0" w:space="0" w:color="auto"/>
                    <w:bottom w:val="none" w:sz="0" w:space="0" w:color="auto"/>
                    <w:right w:val="none" w:sz="0" w:space="0" w:color="auto"/>
                  </w:divBdr>
                  <w:divsChild>
                    <w:div w:id="1126554">
                      <w:marLeft w:val="0"/>
                      <w:marRight w:val="0"/>
                      <w:marTop w:val="0"/>
                      <w:marBottom w:val="0"/>
                      <w:divBdr>
                        <w:top w:val="none" w:sz="0" w:space="0" w:color="auto"/>
                        <w:left w:val="none" w:sz="0" w:space="0" w:color="auto"/>
                        <w:bottom w:val="none" w:sz="0" w:space="0" w:color="auto"/>
                        <w:right w:val="none" w:sz="0" w:space="0" w:color="auto"/>
                      </w:divBdr>
                    </w:div>
                  </w:divsChild>
                </w:div>
                <w:div w:id="397241274">
                  <w:marLeft w:val="0"/>
                  <w:marRight w:val="0"/>
                  <w:marTop w:val="0"/>
                  <w:marBottom w:val="0"/>
                  <w:divBdr>
                    <w:top w:val="none" w:sz="0" w:space="0" w:color="auto"/>
                    <w:left w:val="none" w:sz="0" w:space="0" w:color="auto"/>
                    <w:bottom w:val="none" w:sz="0" w:space="0" w:color="auto"/>
                    <w:right w:val="none" w:sz="0" w:space="0" w:color="auto"/>
                  </w:divBdr>
                  <w:divsChild>
                    <w:div w:id="1589191046">
                      <w:marLeft w:val="0"/>
                      <w:marRight w:val="0"/>
                      <w:marTop w:val="0"/>
                      <w:marBottom w:val="0"/>
                      <w:divBdr>
                        <w:top w:val="none" w:sz="0" w:space="0" w:color="auto"/>
                        <w:left w:val="none" w:sz="0" w:space="0" w:color="auto"/>
                        <w:bottom w:val="none" w:sz="0" w:space="0" w:color="auto"/>
                        <w:right w:val="none" w:sz="0" w:space="0" w:color="auto"/>
                      </w:divBdr>
                    </w:div>
                  </w:divsChild>
                </w:div>
                <w:div w:id="405765830">
                  <w:marLeft w:val="0"/>
                  <w:marRight w:val="0"/>
                  <w:marTop w:val="0"/>
                  <w:marBottom w:val="0"/>
                  <w:divBdr>
                    <w:top w:val="none" w:sz="0" w:space="0" w:color="auto"/>
                    <w:left w:val="none" w:sz="0" w:space="0" w:color="auto"/>
                    <w:bottom w:val="none" w:sz="0" w:space="0" w:color="auto"/>
                    <w:right w:val="none" w:sz="0" w:space="0" w:color="auto"/>
                  </w:divBdr>
                  <w:divsChild>
                    <w:div w:id="1252086120">
                      <w:marLeft w:val="0"/>
                      <w:marRight w:val="0"/>
                      <w:marTop w:val="0"/>
                      <w:marBottom w:val="0"/>
                      <w:divBdr>
                        <w:top w:val="none" w:sz="0" w:space="0" w:color="auto"/>
                        <w:left w:val="none" w:sz="0" w:space="0" w:color="auto"/>
                        <w:bottom w:val="none" w:sz="0" w:space="0" w:color="auto"/>
                        <w:right w:val="none" w:sz="0" w:space="0" w:color="auto"/>
                      </w:divBdr>
                    </w:div>
                  </w:divsChild>
                </w:div>
                <w:div w:id="410466861">
                  <w:marLeft w:val="0"/>
                  <w:marRight w:val="0"/>
                  <w:marTop w:val="0"/>
                  <w:marBottom w:val="0"/>
                  <w:divBdr>
                    <w:top w:val="none" w:sz="0" w:space="0" w:color="auto"/>
                    <w:left w:val="none" w:sz="0" w:space="0" w:color="auto"/>
                    <w:bottom w:val="none" w:sz="0" w:space="0" w:color="auto"/>
                    <w:right w:val="none" w:sz="0" w:space="0" w:color="auto"/>
                  </w:divBdr>
                  <w:divsChild>
                    <w:div w:id="160631849">
                      <w:marLeft w:val="0"/>
                      <w:marRight w:val="0"/>
                      <w:marTop w:val="0"/>
                      <w:marBottom w:val="0"/>
                      <w:divBdr>
                        <w:top w:val="none" w:sz="0" w:space="0" w:color="auto"/>
                        <w:left w:val="none" w:sz="0" w:space="0" w:color="auto"/>
                        <w:bottom w:val="none" w:sz="0" w:space="0" w:color="auto"/>
                        <w:right w:val="none" w:sz="0" w:space="0" w:color="auto"/>
                      </w:divBdr>
                    </w:div>
                  </w:divsChild>
                </w:div>
                <w:div w:id="425266893">
                  <w:marLeft w:val="0"/>
                  <w:marRight w:val="0"/>
                  <w:marTop w:val="0"/>
                  <w:marBottom w:val="0"/>
                  <w:divBdr>
                    <w:top w:val="none" w:sz="0" w:space="0" w:color="auto"/>
                    <w:left w:val="none" w:sz="0" w:space="0" w:color="auto"/>
                    <w:bottom w:val="none" w:sz="0" w:space="0" w:color="auto"/>
                    <w:right w:val="none" w:sz="0" w:space="0" w:color="auto"/>
                  </w:divBdr>
                  <w:divsChild>
                    <w:div w:id="234971200">
                      <w:marLeft w:val="0"/>
                      <w:marRight w:val="0"/>
                      <w:marTop w:val="0"/>
                      <w:marBottom w:val="0"/>
                      <w:divBdr>
                        <w:top w:val="none" w:sz="0" w:space="0" w:color="auto"/>
                        <w:left w:val="none" w:sz="0" w:space="0" w:color="auto"/>
                        <w:bottom w:val="none" w:sz="0" w:space="0" w:color="auto"/>
                        <w:right w:val="none" w:sz="0" w:space="0" w:color="auto"/>
                      </w:divBdr>
                    </w:div>
                  </w:divsChild>
                </w:div>
                <w:div w:id="519203036">
                  <w:marLeft w:val="0"/>
                  <w:marRight w:val="0"/>
                  <w:marTop w:val="0"/>
                  <w:marBottom w:val="0"/>
                  <w:divBdr>
                    <w:top w:val="none" w:sz="0" w:space="0" w:color="auto"/>
                    <w:left w:val="none" w:sz="0" w:space="0" w:color="auto"/>
                    <w:bottom w:val="none" w:sz="0" w:space="0" w:color="auto"/>
                    <w:right w:val="none" w:sz="0" w:space="0" w:color="auto"/>
                  </w:divBdr>
                  <w:divsChild>
                    <w:div w:id="1920364733">
                      <w:marLeft w:val="0"/>
                      <w:marRight w:val="0"/>
                      <w:marTop w:val="0"/>
                      <w:marBottom w:val="0"/>
                      <w:divBdr>
                        <w:top w:val="none" w:sz="0" w:space="0" w:color="auto"/>
                        <w:left w:val="none" w:sz="0" w:space="0" w:color="auto"/>
                        <w:bottom w:val="none" w:sz="0" w:space="0" w:color="auto"/>
                        <w:right w:val="none" w:sz="0" w:space="0" w:color="auto"/>
                      </w:divBdr>
                    </w:div>
                  </w:divsChild>
                </w:div>
                <w:div w:id="540170814">
                  <w:marLeft w:val="0"/>
                  <w:marRight w:val="0"/>
                  <w:marTop w:val="0"/>
                  <w:marBottom w:val="0"/>
                  <w:divBdr>
                    <w:top w:val="none" w:sz="0" w:space="0" w:color="auto"/>
                    <w:left w:val="none" w:sz="0" w:space="0" w:color="auto"/>
                    <w:bottom w:val="none" w:sz="0" w:space="0" w:color="auto"/>
                    <w:right w:val="none" w:sz="0" w:space="0" w:color="auto"/>
                  </w:divBdr>
                  <w:divsChild>
                    <w:div w:id="304551081">
                      <w:marLeft w:val="0"/>
                      <w:marRight w:val="0"/>
                      <w:marTop w:val="0"/>
                      <w:marBottom w:val="0"/>
                      <w:divBdr>
                        <w:top w:val="none" w:sz="0" w:space="0" w:color="auto"/>
                        <w:left w:val="none" w:sz="0" w:space="0" w:color="auto"/>
                        <w:bottom w:val="none" w:sz="0" w:space="0" w:color="auto"/>
                        <w:right w:val="none" w:sz="0" w:space="0" w:color="auto"/>
                      </w:divBdr>
                    </w:div>
                  </w:divsChild>
                </w:div>
                <w:div w:id="609245767">
                  <w:marLeft w:val="0"/>
                  <w:marRight w:val="0"/>
                  <w:marTop w:val="0"/>
                  <w:marBottom w:val="0"/>
                  <w:divBdr>
                    <w:top w:val="none" w:sz="0" w:space="0" w:color="auto"/>
                    <w:left w:val="none" w:sz="0" w:space="0" w:color="auto"/>
                    <w:bottom w:val="none" w:sz="0" w:space="0" w:color="auto"/>
                    <w:right w:val="none" w:sz="0" w:space="0" w:color="auto"/>
                  </w:divBdr>
                  <w:divsChild>
                    <w:div w:id="1513183402">
                      <w:marLeft w:val="0"/>
                      <w:marRight w:val="0"/>
                      <w:marTop w:val="0"/>
                      <w:marBottom w:val="0"/>
                      <w:divBdr>
                        <w:top w:val="none" w:sz="0" w:space="0" w:color="auto"/>
                        <w:left w:val="none" w:sz="0" w:space="0" w:color="auto"/>
                        <w:bottom w:val="none" w:sz="0" w:space="0" w:color="auto"/>
                        <w:right w:val="none" w:sz="0" w:space="0" w:color="auto"/>
                      </w:divBdr>
                    </w:div>
                  </w:divsChild>
                </w:div>
                <w:div w:id="745691729">
                  <w:marLeft w:val="0"/>
                  <w:marRight w:val="0"/>
                  <w:marTop w:val="0"/>
                  <w:marBottom w:val="0"/>
                  <w:divBdr>
                    <w:top w:val="none" w:sz="0" w:space="0" w:color="auto"/>
                    <w:left w:val="none" w:sz="0" w:space="0" w:color="auto"/>
                    <w:bottom w:val="none" w:sz="0" w:space="0" w:color="auto"/>
                    <w:right w:val="none" w:sz="0" w:space="0" w:color="auto"/>
                  </w:divBdr>
                  <w:divsChild>
                    <w:div w:id="1695379522">
                      <w:marLeft w:val="0"/>
                      <w:marRight w:val="0"/>
                      <w:marTop w:val="0"/>
                      <w:marBottom w:val="0"/>
                      <w:divBdr>
                        <w:top w:val="none" w:sz="0" w:space="0" w:color="auto"/>
                        <w:left w:val="none" w:sz="0" w:space="0" w:color="auto"/>
                        <w:bottom w:val="none" w:sz="0" w:space="0" w:color="auto"/>
                        <w:right w:val="none" w:sz="0" w:space="0" w:color="auto"/>
                      </w:divBdr>
                    </w:div>
                  </w:divsChild>
                </w:div>
                <w:div w:id="897010667">
                  <w:marLeft w:val="0"/>
                  <w:marRight w:val="0"/>
                  <w:marTop w:val="0"/>
                  <w:marBottom w:val="0"/>
                  <w:divBdr>
                    <w:top w:val="none" w:sz="0" w:space="0" w:color="auto"/>
                    <w:left w:val="none" w:sz="0" w:space="0" w:color="auto"/>
                    <w:bottom w:val="none" w:sz="0" w:space="0" w:color="auto"/>
                    <w:right w:val="none" w:sz="0" w:space="0" w:color="auto"/>
                  </w:divBdr>
                  <w:divsChild>
                    <w:div w:id="1860242107">
                      <w:marLeft w:val="0"/>
                      <w:marRight w:val="0"/>
                      <w:marTop w:val="0"/>
                      <w:marBottom w:val="0"/>
                      <w:divBdr>
                        <w:top w:val="none" w:sz="0" w:space="0" w:color="auto"/>
                        <w:left w:val="none" w:sz="0" w:space="0" w:color="auto"/>
                        <w:bottom w:val="none" w:sz="0" w:space="0" w:color="auto"/>
                        <w:right w:val="none" w:sz="0" w:space="0" w:color="auto"/>
                      </w:divBdr>
                    </w:div>
                  </w:divsChild>
                </w:div>
                <w:div w:id="900022252">
                  <w:marLeft w:val="0"/>
                  <w:marRight w:val="0"/>
                  <w:marTop w:val="0"/>
                  <w:marBottom w:val="0"/>
                  <w:divBdr>
                    <w:top w:val="none" w:sz="0" w:space="0" w:color="auto"/>
                    <w:left w:val="none" w:sz="0" w:space="0" w:color="auto"/>
                    <w:bottom w:val="none" w:sz="0" w:space="0" w:color="auto"/>
                    <w:right w:val="none" w:sz="0" w:space="0" w:color="auto"/>
                  </w:divBdr>
                  <w:divsChild>
                    <w:div w:id="716078741">
                      <w:marLeft w:val="0"/>
                      <w:marRight w:val="0"/>
                      <w:marTop w:val="0"/>
                      <w:marBottom w:val="0"/>
                      <w:divBdr>
                        <w:top w:val="none" w:sz="0" w:space="0" w:color="auto"/>
                        <w:left w:val="none" w:sz="0" w:space="0" w:color="auto"/>
                        <w:bottom w:val="none" w:sz="0" w:space="0" w:color="auto"/>
                        <w:right w:val="none" w:sz="0" w:space="0" w:color="auto"/>
                      </w:divBdr>
                    </w:div>
                  </w:divsChild>
                </w:div>
                <w:div w:id="923339267">
                  <w:marLeft w:val="0"/>
                  <w:marRight w:val="0"/>
                  <w:marTop w:val="0"/>
                  <w:marBottom w:val="0"/>
                  <w:divBdr>
                    <w:top w:val="none" w:sz="0" w:space="0" w:color="auto"/>
                    <w:left w:val="none" w:sz="0" w:space="0" w:color="auto"/>
                    <w:bottom w:val="none" w:sz="0" w:space="0" w:color="auto"/>
                    <w:right w:val="none" w:sz="0" w:space="0" w:color="auto"/>
                  </w:divBdr>
                  <w:divsChild>
                    <w:div w:id="1247039348">
                      <w:marLeft w:val="0"/>
                      <w:marRight w:val="0"/>
                      <w:marTop w:val="0"/>
                      <w:marBottom w:val="0"/>
                      <w:divBdr>
                        <w:top w:val="none" w:sz="0" w:space="0" w:color="auto"/>
                        <w:left w:val="none" w:sz="0" w:space="0" w:color="auto"/>
                        <w:bottom w:val="none" w:sz="0" w:space="0" w:color="auto"/>
                        <w:right w:val="none" w:sz="0" w:space="0" w:color="auto"/>
                      </w:divBdr>
                    </w:div>
                  </w:divsChild>
                </w:div>
                <w:div w:id="942876886">
                  <w:marLeft w:val="0"/>
                  <w:marRight w:val="0"/>
                  <w:marTop w:val="0"/>
                  <w:marBottom w:val="0"/>
                  <w:divBdr>
                    <w:top w:val="none" w:sz="0" w:space="0" w:color="auto"/>
                    <w:left w:val="none" w:sz="0" w:space="0" w:color="auto"/>
                    <w:bottom w:val="none" w:sz="0" w:space="0" w:color="auto"/>
                    <w:right w:val="none" w:sz="0" w:space="0" w:color="auto"/>
                  </w:divBdr>
                  <w:divsChild>
                    <w:div w:id="249196223">
                      <w:marLeft w:val="0"/>
                      <w:marRight w:val="0"/>
                      <w:marTop w:val="0"/>
                      <w:marBottom w:val="0"/>
                      <w:divBdr>
                        <w:top w:val="none" w:sz="0" w:space="0" w:color="auto"/>
                        <w:left w:val="none" w:sz="0" w:space="0" w:color="auto"/>
                        <w:bottom w:val="none" w:sz="0" w:space="0" w:color="auto"/>
                        <w:right w:val="none" w:sz="0" w:space="0" w:color="auto"/>
                      </w:divBdr>
                    </w:div>
                  </w:divsChild>
                </w:div>
                <w:div w:id="973020695">
                  <w:marLeft w:val="0"/>
                  <w:marRight w:val="0"/>
                  <w:marTop w:val="0"/>
                  <w:marBottom w:val="0"/>
                  <w:divBdr>
                    <w:top w:val="none" w:sz="0" w:space="0" w:color="auto"/>
                    <w:left w:val="none" w:sz="0" w:space="0" w:color="auto"/>
                    <w:bottom w:val="none" w:sz="0" w:space="0" w:color="auto"/>
                    <w:right w:val="none" w:sz="0" w:space="0" w:color="auto"/>
                  </w:divBdr>
                  <w:divsChild>
                    <w:div w:id="416098008">
                      <w:marLeft w:val="0"/>
                      <w:marRight w:val="0"/>
                      <w:marTop w:val="0"/>
                      <w:marBottom w:val="0"/>
                      <w:divBdr>
                        <w:top w:val="none" w:sz="0" w:space="0" w:color="auto"/>
                        <w:left w:val="none" w:sz="0" w:space="0" w:color="auto"/>
                        <w:bottom w:val="none" w:sz="0" w:space="0" w:color="auto"/>
                        <w:right w:val="none" w:sz="0" w:space="0" w:color="auto"/>
                      </w:divBdr>
                    </w:div>
                  </w:divsChild>
                </w:div>
                <w:div w:id="1028409992">
                  <w:marLeft w:val="0"/>
                  <w:marRight w:val="0"/>
                  <w:marTop w:val="0"/>
                  <w:marBottom w:val="0"/>
                  <w:divBdr>
                    <w:top w:val="none" w:sz="0" w:space="0" w:color="auto"/>
                    <w:left w:val="none" w:sz="0" w:space="0" w:color="auto"/>
                    <w:bottom w:val="none" w:sz="0" w:space="0" w:color="auto"/>
                    <w:right w:val="none" w:sz="0" w:space="0" w:color="auto"/>
                  </w:divBdr>
                  <w:divsChild>
                    <w:div w:id="1901860180">
                      <w:marLeft w:val="0"/>
                      <w:marRight w:val="0"/>
                      <w:marTop w:val="0"/>
                      <w:marBottom w:val="0"/>
                      <w:divBdr>
                        <w:top w:val="none" w:sz="0" w:space="0" w:color="auto"/>
                        <w:left w:val="none" w:sz="0" w:space="0" w:color="auto"/>
                        <w:bottom w:val="none" w:sz="0" w:space="0" w:color="auto"/>
                        <w:right w:val="none" w:sz="0" w:space="0" w:color="auto"/>
                      </w:divBdr>
                    </w:div>
                  </w:divsChild>
                </w:div>
                <w:div w:id="1056582935">
                  <w:marLeft w:val="0"/>
                  <w:marRight w:val="0"/>
                  <w:marTop w:val="0"/>
                  <w:marBottom w:val="0"/>
                  <w:divBdr>
                    <w:top w:val="none" w:sz="0" w:space="0" w:color="auto"/>
                    <w:left w:val="none" w:sz="0" w:space="0" w:color="auto"/>
                    <w:bottom w:val="none" w:sz="0" w:space="0" w:color="auto"/>
                    <w:right w:val="none" w:sz="0" w:space="0" w:color="auto"/>
                  </w:divBdr>
                  <w:divsChild>
                    <w:div w:id="150292410">
                      <w:marLeft w:val="0"/>
                      <w:marRight w:val="0"/>
                      <w:marTop w:val="0"/>
                      <w:marBottom w:val="0"/>
                      <w:divBdr>
                        <w:top w:val="none" w:sz="0" w:space="0" w:color="auto"/>
                        <w:left w:val="none" w:sz="0" w:space="0" w:color="auto"/>
                        <w:bottom w:val="none" w:sz="0" w:space="0" w:color="auto"/>
                        <w:right w:val="none" w:sz="0" w:space="0" w:color="auto"/>
                      </w:divBdr>
                    </w:div>
                  </w:divsChild>
                </w:div>
                <w:div w:id="1084840140">
                  <w:marLeft w:val="0"/>
                  <w:marRight w:val="0"/>
                  <w:marTop w:val="0"/>
                  <w:marBottom w:val="0"/>
                  <w:divBdr>
                    <w:top w:val="none" w:sz="0" w:space="0" w:color="auto"/>
                    <w:left w:val="none" w:sz="0" w:space="0" w:color="auto"/>
                    <w:bottom w:val="none" w:sz="0" w:space="0" w:color="auto"/>
                    <w:right w:val="none" w:sz="0" w:space="0" w:color="auto"/>
                  </w:divBdr>
                  <w:divsChild>
                    <w:div w:id="320699229">
                      <w:marLeft w:val="0"/>
                      <w:marRight w:val="0"/>
                      <w:marTop w:val="0"/>
                      <w:marBottom w:val="0"/>
                      <w:divBdr>
                        <w:top w:val="none" w:sz="0" w:space="0" w:color="auto"/>
                        <w:left w:val="none" w:sz="0" w:space="0" w:color="auto"/>
                        <w:bottom w:val="none" w:sz="0" w:space="0" w:color="auto"/>
                        <w:right w:val="none" w:sz="0" w:space="0" w:color="auto"/>
                      </w:divBdr>
                    </w:div>
                  </w:divsChild>
                </w:div>
                <w:div w:id="1117017821">
                  <w:marLeft w:val="0"/>
                  <w:marRight w:val="0"/>
                  <w:marTop w:val="0"/>
                  <w:marBottom w:val="0"/>
                  <w:divBdr>
                    <w:top w:val="none" w:sz="0" w:space="0" w:color="auto"/>
                    <w:left w:val="none" w:sz="0" w:space="0" w:color="auto"/>
                    <w:bottom w:val="none" w:sz="0" w:space="0" w:color="auto"/>
                    <w:right w:val="none" w:sz="0" w:space="0" w:color="auto"/>
                  </w:divBdr>
                  <w:divsChild>
                    <w:div w:id="2113502081">
                      <w:marLeft w:val="0"/>
                      <w:marRight w:val="0"/>
                      <w:marTop w:val="0"/>
                      <w:marBottom w:val="0"/>
                      <w:divBdr>
                        <w:top w:val="none" w:sz="0" w:space="0" w:color="auto"/>
                        <w:left w:val="none" w:sz="0" w:space="0" w:color="auto"/>
                        <w:bottom w:val="none" w:sz="0" w:space="0" w:color="auto"/>
                        <w:right w:val="none" w:sz="0" w:space="0" w:color="auto"/>
                      </w:divBdr>
                    </w:div>
                  </w:divsChild>
                </w:div>
                <w:div w:id="1178471831">
                  <w:marLeft w:val="0"/>
                  <w:marRight w:val="0"/>
                  <w:marTop w:val="0"/>
                  <w:marBottom w:val="0"/>
                  <w:divBdr>
                    <w:top w:val="none" w:sz="0" w:space="0" w:color="auto"/>
                    <w:left w:val="none" w:sz="0" w:space="0" w:color="auto"/>
                    <w:bottom w:val="none" w:sz="0" w:space="0" w:color="auto"/>
                    <w:right w:val="none" w:sz="0" w:space="0" w:color="auto"/>
                  </w:divBdr>
                  <w:divsChild>
                    <w:div w:id="945699889">
                      <w:marLeft w:val="0"/>
                      <w:marRight w:val="0"/>
                      <w:marTop w:val="0"/>
                      <w:marBottom w:val="0"/>
                      <w:divBdr>
                        <w:top w:val="none" w:sz="0" w:space="0" w:color="auto"/>
                        <w:left w:val="none" w:sz="0" w:space="0" w:color="auto"/>
                        <w:bottom w:val="none" w:sz="0" w:space="0" w:color="auto"/>
                        <w:right w:val="none" w:sz="0" w:space="0" w:color="auto"/>
                      </w:divBdr>
                    </w:div>
                  </w:divsChild>
                </w:div>
                <w:div w:id="1295333650">
                  <w:marLeft w:val="0"/>
                  <w:marRight w:val="0"/>
                  <w:marTop w:val="0"/>
                  <w:marBottom w:val="0"/>
                  <w:divBdr>
                    <w:top w:val="none" w:sz="0" w:space="0" w:color="auto"/>
                    <w:left w:val="none" w:sz="0" w:space="0" w:color="auto"/>
                    <w:bottom w:val="none" w:sz="0" w:space="0" w:color="auto"/>
                    <w:right w:val="none" w:sz="0" w:space="0" w:color="auto"/>
                  </w:divBdr>
                  <w:divsChild>
                    <w:div w:id="1844004063">
                      <w:marLeft w:val="0"/>
                      <w:marRight w:val="0"/>
                      <w:marTop w:val="0"/>
                      <w:marBottom w:val="0"/>
                      <w:divBdr>
                        <w:top w:val="none" w:sz="0" w:space="0" w:color="auto"/>
                        <w:left w:val="none" w:sz="0" w:space="0" w:color="auto"/>
                        <w:bottom w:val="none" w:sz="0" w:space="0" w:color="auto"/>
                        <w:right w:val="none" w:sz="0" w:space="0" w:color="auto"/>
                      </w:divBdr>
                    </w:div>
                  </w:divsChild>
                </w:div>
                <w:div w:id="1550990257">
                  <w:marLeft w:val="0"/>
                  <w:marRight w:val="0"/>
                  <w:marTop w:val="0"/>
                  <w:marBottom w:val="0"/>
                  <w:divBdr>
                    <w:top w:val="none" w:sz="0" w:space="0" w:color="auto"/>
                    <w:left w:val="none" w:sz="0" w:space="0" w:color="auto"/>
                    <w:bottom w:val="none" w:sz="0" w:space="0" w:color="auto"/>
                    <w:right w:val="none" w:sz="0" w:space="0" w:color="auto"/>
                  </w:divBdr>
                  <w:divsChild>
                    <w:div w:id="928999030">
                      <w:marLeft w:val="0"/>
                      <w:marRight w:val="0"/>
                      <w:marTop w:val="0"/>
                      <w:marBottom w:val="0"/>
                      <w:divBdr>
                        <w:top w:val="none" w:sz="0" w:space="0" w:color="auto"/>
                        <w:left w:val="none" w:sz="0" w:space="0" w:color="auto"/>
                        <w:bottom w:val="none" w:sz="0" w:space="0" w:color="auto"/>
                        <w:right w:val="none" w:sz="0" w:space="0" w:color="auto"/>
                      </w:divBdr>
                    </w:div>
                  </w:divsChild>
                </w:div>
                <w:div w:id="1569877162">
                  <w:marLeft w:val="0"/>
                  <w:marRight w:val="0"/>
                  <w:marTop w:val="0"/>
                  <w:marBottom w:val="0"/>
                  <w:divBdr>
                    <w:top w:val="none" w:sz="0" w:space="0" w:color="auto"/>
                    <w:left w:val="none" w:sz="0" w:space="0" w:color="auto"/>
                    <w:bottom w:val="none" w:sz="0" w:space="0" w:color="auto"/>
                    <w:right w:val="none" w:sz="0" w:space="0" w:color="auto"/>
                  </w:divBdr>
                  <w:divsChild>
                    <w:div w:id="95295632">
                      <w:marLeft w:val="0"/>
                      <w:marRight w:val="0"/>
                      <w:marTop w:val="0"/>
                      <w:marBottom w:val="0"/>
                      <w:divBdr>
                        <w:top w:val="none" w:sz="0" w:space="0" w:color="auto"/>
                        <w:left w:val="none" w:sz="0" w:space="0" w:color="auto"/>
                        <w:bottom w:val="none" w:sz="0" w:space="0" w:color="auto"/>
                        <w:right w:val="none" w:sz="0" w:space="0" w:color="auto"/>
                      </w:divBdr>
                    </w:div>
                  </w:divsChild>
                </w:div>
                <w:div w:id="1577979194">
                  <w:marLeft w:val="0"/>
                  <w:marRight w:val="0"/>
                  <w:marTop w:val="0"/>
                  <w:marBottom w:val="0"/>
                  <w:divBdr>
                    <w:top w:val="none" w:sz="0" w:space="0" w:color="auto"/>
                    <w:left w:val="none" w:sz="0" w:space="0" w:color="auto"/>
                    <w:bottom w:val="none" w:sz="0" w:space="0" w:color="auto"/>
                    <w:right w:val="none" w:sz="0" w:space="0" w:color="auto"/>
                  </w:divBdr>
                  <w:divsChild>
                    <w:div w:id="1634289491">
                      <w:marLeft w:val="0"/>
                      <w:marRight w:val="0"/>
                      <w:marTop w:val="0"/>
                      <w:marBottom w:val="0"/>
                      <w:divBdr>
                        <w:top w:val="none" w:sz="0" w:space="0" w:color="auto"/>
                        <w:left w:val="none" w:sz="0" w:space="0" w:color="auto"/>
                        <w:bottom w:val="none" w:sz="0" w:space="0" w:color="auto"/>
                        <w:right w:val="none" w:sz="0" w:space="0" w:color="auto"/>
                      </w:divBdr>
                    </w:div>
                  </w:divsChild>
                </w:div>
                <w:div w:id="1612514982">
                  <w:marLeft w:val="0"/>
                  <w:marRight w:val="0"/>
                  <w:marTop w:val="0"/>
                  <w:marBottom w:val="0"/>
                  <w:divBdr>
                    <w:top w:val="none" w:sz="0" w:space="0" w:color="auto"/>
                    <w:left w:val="none" w:sz="0" w:space="0" w:color="auto"/>
                    <w:bottom w:val="none" w:sz="0" w:space="0" w:color="auto"/>
                    <w:right w:val="none" w:sz="0" w:space="0" w:color="auto"/>
                  </w:divBdr>
                  <w:divsChild>
                    <w:div w:id="887767811">
                      <w:marLeft w:val="0"/>
                      <w:marRight w:val="0"/>
                      <w:marTop w:val="0"/>
                      <w:marBottom w:val="0"/>
                      <w:divBdr>
                        <w:top w:val="none" w:sz="0" w:space="0" w:color="auto"/>
                        <w:left w:val="none" w:sz="0" w:space="0" w:color="auto"/>
                        <w:bottom w:val="none" w:sz="0" w:space="0" w:color="auto"/>
                        <w:right w:val="none" w:sz="0" w:space="0" w:color="auto"/>
                      </w:divBdr>
                    </w:div>
                  </w:divsChild>
                </w:div>
                <w:div w:id="1632634960">
                  <w:marLeft w:val="0"/>
                  <w:marRight w:val="0"/>
                  <w:marTop w:val="0"/>
                  <w:marBottom w:val="0"/>
                  <w:divBdr>
                    <w:top w:val="none" w:sz="0" w:space="0" w:color="auto"/>
                    <w:left w:val="none" w:sz="0" w:space="0" w:color="auto"/>
                    <w:bottom w:val="none" w:sz="0" w:space="0" w:color="auto"/>
                    <w:right w:val="none" w:sz="0" w:space="0" w:color="auto"/>
                  </w:divBdr>
                  <w:divsChild>
                    <w:div w:id="1666325268">
                      <w:marLeft w:val="0"/>
                      <w:marRight w:val="0"/>
                      <w:marTop w:val="0"/>
                      <w:marBottom w:val="0"/>
                      <w:divBdr>
                        <w:top w:val="none" w:sz="0" w:space="0" w:color="auto"/>
                        <w:left w:val="none" w:sz="0" w:space="0" w:color="auto"/>
                        <w:bottom w:val="none" w:sz="0" w:space="0" w:color="auto"/>
                        <w:right w:val="none" w:sz="0" w:space="0" w:color="auto"/>
                      </w:divBdr>
                    </w:div>
                  </w:divsChild>
                </w:div>
                <w:div w:id="1653558162">
                  <w:marLeft w:val="0"/>
                  <w:marRight w:val="0"/>
                  <w:marTop w:val="0"/>
                  <w:marBottom w:val="0"/>
                  <w:divBdr>
                    <w:top w:val="none" w:sz="0" w:space="0" w:color="auto"/>
                    <w:left w:val="none" w:sz="0" w:space="0" w:color="auto"/>
                    <w:bottom w:val="none" w:sz="0" w:space="0" w:color="auto"/>
                    <w:right w:val="none" w:sz="0" w:space="0" w:color="auto"/>
                  </w:divBdr>
                  <w:divsChild>
                    <w:div w:id="1927961552">
                      <w:marLeft w:val="0"/>
                      <w:marRight w:val="0"/>
                      <w:marTop w:val="0"/>
                      <w:marBottom w:val="0"/>
                      <w:divBdr>
                        <w:top w:val="none" w:sz="0" w:space="0" w:color="auto"/>
                        <w:left w:val="none" w:sz="0" w:space="0" w:color="auto"/>
                        <w:bottom w:val="none" w:sz="0" w:space="0" w:color="auto"/>
                        <w:right w:val="none" w:sz="0" w:space="0" w:color="auto"/>
                      </w:divBdr>
                    </w:div>
                  </w:divsChild>
                </w:div>
                <w:div w:id="1752121510">
                  <w:marLeft w:val="0"/>
                  <w:marRight w:val="0"/>
                  <w:marTop w:val="0"/>
                  <w:marBottom w:val="0"/>
                  <w:divBdr>
                    <w:top w:val="none" w:sz="0" w:space="0" w:color="auto"/>
                    <w:left w:val="none" w:sz="0" w:space="0" w:color="auto"/>
                    <w:bottom w:val="none" w:sz="0" w:space="0" w:color="auto"/>
                    <w:right w:val="none" w:sz="0" w:space="0" w:color="auto"/>
                  </w:divBdr>
                  <w:divsChild>
                    <w:div w:id="2037925712">
                      <w:marLeft w:val="0"/>
                      <w:marRight w:val="0"/>
                      <w:marTop w:val="0"/>
                      <w:marBottom w:val="0"/>
                      <w:divBdr>
                        <w:top w:val="none" w:sz="0" w:space="0" w:color="auto"/>
                        <w:left w:val="none" w:sz="0" w:space="0" w:color="auto"/>
                        <w:bottom w:val="none" w:sz="0" w:space="0" w:color="auto"/>
                        <w:right w:val="none" w:sz="0" w:space="0" w:color="auto"/>
                      </w:divBdr>
                    </w:div>
                  </w:divsChild>
                </w:div>
                <w:div w:id="1833184053">
                  <w:marLeft w:val="0"/>
                  <w:marRight w:val="0"/>
                  <w:marTop w:val="0"/>
                  <w:marBottom w:val="0"/>
                  <w:divBdr>
                    <w:top w:val="none" w:sz="0" w:space="0" w:color="auto"/>
                    <w:left w:val="none" w:sz="0" w:space="0" w:color="auto"/>
                    <w:bottom w:val="none" w:sz="0" w:space="0" w:color="auto"/>
                    <w:right w:val="none" w:sz="0" w:space="0" w:color="auto"/>
                  </w:divBdr>
                  <w:divsChild>
                    <w:div w:id="1732271287">
                      <w:marLeft w:val="0"/>
                      <w:marRight w:val="0"/>
                      <w:marTop w:val="0"/>
                      <w:marBottom w:val="0"/>
                      <w:divBdr>
                        <w:top w:val="none" w:sz="0" w:space="0" w:color="auto"/>
                        <w:left w:val="none" w:sz="0" w:space="0" w:color="auto"/>
                        <w:bottom w:val="none" w:sz="0" w:space="0" w:color="auto"/>
                        <w:right w:val="none" w:sz="0" w:space="0" w:color="auto"/>
                      </w:divBdr>
                    </w:div>
                  </w:divsChild>
                </w:div>
                <w:div w:id="1965233111">
                  <w:marLeft w:val="0"/>
                  <w:marRight w:val="0"/>
                  <w:marTop w:val="0"/>
                  <w:marBottom w:val="0"/>
                  <w:divBdr>
                    <w:top w:val="none" w:sz="0" w:space="0" w:color="auto"/>
                    <w:left w:val="none" w:sz="0" w:space="0" w:color="auto"/>
                    <w:bottom w:val="none" w:sz="0" w:space="0" w:color="auto"/>
                    <w:right w:val="none" w:sz="0" w:space="0" w:color="auto"/>
                  </w:divBdr>
                  <w:divsChild>
                    <w:div w:id="505562844">
                      <w:marLeft w:val="0"/>
                      <w:marRight w:val="0"/>
                      <w:marTop w:val="0"/>
                      <w:marBottom w:val="0"/>
                      <w:divBdr>
                        <w:top w:val="none" w:sz="0" w:space="0" w:color="auto"/>
                        <w:left w:val="none" w:sz="0" w:space="0" w:color="auto"/>
                        <w:bottom w:val="none" w:sz="0" w:space="0" w:color="auto"/>
                        <w:right w:val="none" w:sz="0" w:space="0" w:color="auto"/>
                      </w:divBdr>
                    </w:div>
                  </w:divsChild>
                </w:div>
                <w:div w:id="1984460563">
                  <w:marLeft w:val="0"/>
                  <w:marRight w:val="0"/>
                  <w:marTop w:val="0"/>
                  <w:marBottom w:val="0"/>
                  <w:divBdr>
                    <w:top w:val="none" w:sz="0" w:space="0" w:color="auto"/>
                    <w:left w:val="none" w:sz="0" w:space="0" w:color="auto"/>
                    <w:bottom w:val="none" w:sz="0" w:space="0" w:color="auto"/>
                    <w:right w:val="none" w:sz="0" w:space="0" w:color="auto"/>
                  </w:divBdr>
                  <w:divsChild>
                    <w:div w:id="167066194">
                      <w:marLeft w:val="0"/>
                      <w:marRight w:val="0"/>
                      <w:marTop w:val="0"/>
                      <w:marBottom w:val="0"/>
                      <w:divBdr>
                        <w:top w:val="none" w:sz="0" w:space="0" w:color="auto"/>
                        <w:left w:val="none" w:sz="0" w:space="0" w:color="auto"/>
                        <w:bottom w:val="none" w:sz="0" w:space="0" w:color="auto"/>
                        <w:right w:val="none" w:sz="0" w:space="0" w:color="auto"/>
                      </w:divBdr>
                    </w:div>
                  </w:divsChild>
                </w:div>
                <w:div w:id="2021396924">
                  <w:marLeft w:val="0"/>
                  <w:marRight w:val="0"/>
                  <w:marTop w:val="0"/>
                  <w:marBottom w:val="0"/>
                  <w:divBdr>
                    <w:top w:val="none" w:sz="0" w:space="0" w:color="auto"/>
                    <w:left w:val="none" w:sz="0" w:space="0" w:color="auto"/>
                    <w:bottom w:val="none" w:sz="0" w:space="0" w:color="auto"/>
                    <w:right w:val="none" w:sz="0" w:space="0" w:color="auto"/>
                  </w:divBdr>
                  <w:divsChild>
                    <w:div w:id="1909534583">
                      <w:marLeft w:val="0"/>
                      <w:marRight w:val="0"/>
                      <w:marTop w:val="0"/>
                      <w:marBottom w:val="0"/>
                      <w:divBdr>
                        <w:top w:val="none" w:sz="0" w:space="0" w:color="auto"/>
                        <w:left w:val="none" w:sz="0" w:space="0" w:color="auto"/>
                        <w:bottom w:val="none" w:sz="0" w:space="0" w:color="auto"/>
                        <w:right w:val="none" w:sz="0" w:space="0" w:color="auto"/>
                      </w:divBdr>
                    </w:div>
                  </w:divsChild>
                </w:div>
                <w:div w:id="2084833658">
                  <w:marLeft w:val="0"/>
                  <w:marRight w:val="0"/>
                  <w:marTop w:val="0"/>
                  <w:marBottom w:val="0"/>
                  <w:divBdr>
                    <w:top w:val="none" w:sz="0" w:space="0" w:color="auto"/>
                    <w:left w:val="none" w:sz="0" w:space="0" w:color="auto"/>
                    <w:bottom w:val="none" w:sz="0" w:space="0" w:color="auto"/>
                    <w:right w:val="none" w:sz="0" w:space="0" w:color="auto"/>
                  </w:divBdr>
                  <w:divsChild>
                    <w:div w:id="668219356">
                      <w:marLeft w:val="0"/>
                      <w:marRight w:val="0"/>
                      <w:marTop w:val="0"/>
                      <w:marBottom w:val="0"/>
                      <w:divBdr>
                        <w:top w:val="none" w:sz="0" w:space="0" w:color="auto"/>
                        <w:left w:val="none" w:sz="0" w:space="0" w:color="auto"/>
                        <w:bottom w:val="none" w:sz="0" w:space="0" w:color="auto"/>
                        <w:right w:val="none" w:sz="0" w:space="0" w:color="auto"/>
                      </w:divBdr>
                    </w:div>
                  </w:divsChild>
                </w:div>
                <w:div w:id="2144763649">
                  <w:marLeft w:val="0"/>
                  <w:marRight w:val="0"/>
                  <w:marTop w:val="0"/>
                  <w:marBottom w:val="0"/>
                  <w:divBdr>
                    <w:top w:val="none" w:sz="0" w:space="0" w:color="auto"/>
                    <w:left w:val="none" w:sz="0" w:space="0" w:color="auto"/>
                    <w:bottom w:val="none" w:sz="0" w:space="0" w:color="auto"/>
                    <w:right w:val="none" w:sz="0" w:space="0" w:color="auto"/>
                  </w:divBdr>
                  <w:divsChild>
                    <w:div w:id="45175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503402">
          <w:marLeft w:val="0"/>
          <w:marRight w:val="0"/>
          <w:marTop w:val="0"/>
          <w:marBottom w:val="0"/>
          <w:divBdr>
            <w:top w:val="none" w:sz="0" w:space="0" w:color="auto"/>
            <w:left w:val="none" w:sz="0" w:space="0" w:color="auto"/>
            <w:bottom w:val="none" w:sz="0" w:space="0" w:color="auto"/>
            <w:right w:val="none" w:sz="0" w:space="0" w:color="auto"/>
          </w:divBdr>
        </w:div>
        <w:div w:id="631441842">
          <w:marLeft w:val="0"/>
          <w:marRight w:val="0"/>
          <w:marTop w:val="0"/>
          <w:marBottom w:val="0"/>
          <w:divBdr>
            <w:top w:val="none" w:sz="0" w:space="0" w:color="auto"/>
            <w:left w:val="none" w:sz="0" w:space="0" w:color="auto"/>
            <w:bottom w:val="none" w:sz="0" w:space="0" w:color="auto"/>
            <w:right w:val="none" w:sz="0" w:space="0" w:color="auto"/>
          </w:divBdr>
        </w:div>
        <w:div w:id="663557606">
          <w:marLeft w:val="0"/>
          <w:marRight w:val="0"/>
          <w:marTop w:val="0"/>
          <w:marBottom w:val="0"/>
          <w:divBdr>
            <w:top w:val="none" w:sz="0" w:space="0" w:color="auto"/>
            <w:left w:val="none" w:sz="0" w:space="0" w:color="auto"/>
            <w:bottom w:val="none" w:sz="0" w:space="0" w:color="auto"/>
            <w:right w:val="none" w:sz="0" w:space="0" w:color="auto"/>
          </w:divBdr>
        </w:div>
        <w:div w:id="874192500">
          <w:marLeft w:val="0"/>
          <w:marRight w:val="0"/>
          <w:marTop w:val="0"/>
          <w:marBottom w:val="0"/>
          <w:divBdr>
            <w:top w:val="none" w:sz="0" w:space="0" w:color="auto"/>
            <w:left w:val="none" w:sz="0" w:space="0" w:color="auto"/>
            <w:bottom w:val="none" w:sz="0" w:space="0" w:color="auto"/>
            <w:right w:val="none" w:sz="0" w:space="0" w:color="auto"/>
          </w:divBdr>
        </w:div>
        <w:div w:id="985939560">
          <w:marLeft w:val="0"/>
          <w:marRight w:val="0"/>
          <w:marTop w:val="0"/>
          <w:marBottom w:val="0"/>
          <w:divBdr>
            <w:top w:val="none" w:sz="0" w:space="0" w:color="auto"/>
            <w:left w:val="none" w:sz="0" w:space="0" w:color="auto"/>
            <w:bottom w:val="none" w:sz="0" w:space="0" w:color="auto"/>
            <w:right w:val="none" w:sz="0" w:space="0" w:color="auto"/>
          </w:divBdr>
        </w:div>
        <w:div w:id="1051610225">
          <w:marLeft w:val="0"/>
          <w:marRight w:val="0"/>
          <w:marTop w:val="0"/>
          <w:marBottom w:val="0"/>
          <w:divBdr>
            <w:top w:val="none" w:sz="0" w:space="0" w:color="auto"/>
            <w:left w:val="none" w:sz="0" w:space="0" w:color="auto"/>
            <w:bottom w:val="none" w:sz="0" w:space="0" w:color="auto"/>
            <w:right w:val="none" w:sz="0" w:space="0" w:color="auto"/>
          </w:divBdr>
        </w:div>
        <w:div w:id="1129318962">
          <w:marLeft w:val="0"/>
          <w:marRight w:val="0"/>
          <w:marTop w:val="0"/>
          <w:marBottom w:val="0"/>
          <w:divBdr>
            <w:top w:val="none" w:sz="0" w:space="0" w:color="auto"/>
            <w:left w:val="none" w:sz="0" w:space="0" w:color="auto"/>
            <w:bottom w:val="none" w:sz="0" w:space="0" w:color="auto"/>
            <w:right w:val="none" w:sz="0" w:space="0" w:color="auto"/>
          </w:divBdr>
        </w:div>
        <w:div w:id="1184392610">
          <w:marLeft w:val="0"/>
          <w:marRight w:val="0"/>
          <w:marTop w:val="0"/>
          <w:marBottom w:val="0"/>
          <w:divBdr>
            <w:top w:val="none" w:sz="0" w:space="0" w:color="auto"/>
            <w:left w:val="none" w:sz="0" w:space="0" w:color="auto"/>
            <w:bottom w:val="none" w:sz="0" w:space="0" w:color="auto"/>
            <w:right w:val="none" w:sz="0" w:space="0" w:color="auto"/>
          </w:divBdr>
        </w:div>
        <w:div w:id="1222518858">
          <w:marLeft w:val="0"/>
          <w:marRight w:val="0"/>
          <w:marTop w:val="0"/>
          <w:marBottom w:val="0"/>
          <w:divBdr>
            <w:top w:val="none" w:sz="0" w:space="0" w:color="auto"/>
            <w:left w:val="none" w:sz="0" w:space="0" w:color="auto"/>
            <w:bottom w:val="none" w:sz="0" w:space="0" w:color="auto"/>
            <w:right w:val="none" w:sz="0" w:space="0" w:color="auto"/>
          </w:divBdr>
        </w:div>
        <w:div w:id="1222911816">
          <w:marLeft w:val="0"/>
          <w:marRight w:val="0"/>
          <w:marTop w:val="0"/>
          <w:marBottom w:val="0"/>
          <w:divBdr>
            <w:top w:val="none" w:sz="0" w:space="0" w:color="auto"/>
            <w:left w:val="none" w:sz="0" w:space="0" w:color="auto"/>
            <w:bottom w:val="none" w:sz="0" w:space="0" w:color="auto"/>
            <w:right w:val="none" w:sz="0" w:space="0" w:color="auto"/>
          </w:divBdr>
        </w:div>
        <w:div w:id="1230190011">
          <w:marLeft w:val="0"/>
          <w:marRight w:val="0"/>
          <w:marTop w:val="0"/>
          <w:marBottom w:val="0"/>
          <w:divBdr>
            <w:top w:val="none" w:sz="0" w:space="0" w:color="auto"/>
            <w:left w:val="none" w:sz="0" w:space="0" w:color="auto"/>
            <w:bottom w:val="none" w:sz="0" w:space="0" w:color="auto"/>
            <w:right w:val="none" w:sz="0" w:space="0" w:color="auto"/>
          </w:divBdr>
        </w:div>
        <w:div w:id="1283415099">
          <w:marLeft w:val="0"/>
          <w:marRight w:val="0"/>
          <w:marTop w:val="0"/>
          <w:marBottom w:val="0"/>
          <w:divBdr>
            <w:top w:val="none" w:sz="0" w:space="0" w:color="auto"/>
            <w:left w:val="none" w:sz="0" w:space="0" w:color="auto"/>
            <w:bottom w:val="none" w:sz="0" w:space="0" w:color="auto"/>
            <w:right w:val="none" w:sz="0" w:space="0" w:color="auto"/>
          </w:divBdr>
        </w:div>
        <w:div w:id="1325738001">
          <w:marLeft w:val="0"/>
          <w:marRight w:val="0"/>
          <w:marTop w:val="0"/>
          <w:marBottom w:val="0"/>
          <w:divBdr>
            <w:top w:val="none" w:sz="0" w:space="0" w:color="auto"/>
            <w:left w:val="none" w:sz="0" w:space="0" w:color="auto"/>
            <w:bottom w:val="none" w:sz="0" w:space="0" w:color="auto"/>
            <w:right w:val="none" w:sz="0" w:space="0" w:color="auto"/>
          </w:divBdr>
        </w:div>
        <w:div w:id="1390376477">
          <w:marLeft w:val="0"/>
          <w:marRight w:val="0"/>
          <w:marTop w:val="0"/>
          <w:marBottom w:val="0"/>
          <w:divBdr>
            <w:top w:val="none" w:sz="0" w:space="0" w:color="auto"/>
            <w:left w:val="none" w:sz="0" w:space="0" w:color="auto"/>
            <w:bottom w:val="none" w:sz="0" w:space="0" w:color="auto"/>
            <w:right w:val="none" w:sz="0" w:space="0" w:color="auto"/>
          </w:divBdr>
          <w:divsChild>
            <w:div w:id="273293290">
              <w:marLeft w:val="-75"/>
              <w:marRight w:val="0"/>
              <w:marTop w:val="30"/>
              <w:marBottom w:val="30"/>
              <w:divBdr>
                <w:top w:val="none" w:sz="0" w:space="0" w:color="auto"/>
                <w:left w:val="none" w:sz="0" w:space="0" w:color="auto"/>
                <w:bottom w:val="none" w:sz="0" w:space="0" w:color="auto"/>
                <w:right w:val="none" w:sz="0" w:space="0" w:color="auto"/>
              </w:divBdr>
              <w:divsChild>
                <w:div w:id="33622875">
                  <w:marLeft w:val="0"/>
                  <w:marRight w:val="0"/>
                  <w:marTop w:val="0"/>
                  <w:marBottom w:val="0"/>
                  <w:divBdr>
                    <w:top w:val="none" w:sz="0" w:space="0" w:color="auto"/>
                    <w:left w:val="none" w:sz="0" w:space="0" w:color="auto"/>
                    <w:bottom w:val="none" w:sz="0" w:space="0" w:color="auto"/>
                    <w:right w:val="none" w:sz="0" w:space="0" w:color="auto"/>
                  </w:divBdr>
                  <w:divsChild>
                    <w:div w:id="2070955753">
                      <w:marLeft w:val="0"/>
                      <w:marRight w:val="0"/>
                      <w:marTop w:val="0"/>
                      <w:marBottom w:val="0"/>
                      <w:divBdr>
                        <w:top w:val="none" w:sz="0" w:space="0" w:color="auto"/>
                        <w:left w:val="none" w:sz="0" w:space="0" w:color="auto"/>
                        <w:bottom w:val="none" w:sz="0" w:space="0" w:color="auto"/>
                        <w:right w:val="none" w:sz="0" w:space="0" w:color="auto"/>
                      </w:divBdr>
                    </w:div>
                  </w:divsChild>
                </w:div>
                <w:div w:id="37508960">
                  <w:marLeft w:val="0"/>
                  <w:marRight w:val="0"/>
                  <w:marTop w:val="0"/>
                  <w:marBottom w:val="0"/>
                  <w:divBdr>
                    <w:top w:val="none" w:sz="0" w:space="0" w:color="auto"/>
                    <w:left w:val="none" w:sz="0" w:space="0" w:color="auto"/>
                    <w:bottom w:val="none" w:sz="0" w:space="0" w:color="auto"/>
                    <w:right w:val="none" w:sz="0" w:space="0" w:color="auto"/>
                  </w:divBdr>
                  <w:divsChild>
                    <w:div w:id="1358771944">
                      <w:marLeft w:val="0"/>
                      <w:marRight w:val="0"/>
                      <w:marTop w:val="0"/>
                      <w:marBottom w:val="0"/>
                      <w:divBdr>
                        <w:top w:val="none" w:sz="0" w:space="0" w:color="auto"/>
                        <w:left w:val="none" w:sz="0" w:space="0" w:color="auto"/>
                        <w:bottom w:val="none" w:sz="0" w:space="0" w:color="auto"/>
                        <w:right w:val="none" w:sz="0" w:space="0" w:color="auto"/>
                      </w:divBdr>
                    </w:div>
                  </w:divsChild>
                </w:div>
                <w:div w:id="42870233">
                  <w:marLeft w:val="0"/>
                  <w:marRight w:val="0"/>
                  <w:marTop w:val="0"/>
                  <w:marBottom w:val="0"/>
                  <w:divBdr>
                    <w:top w:val="none" w:sz="0" w:space="0" w:color="auto"/>
                    <w:left w:val="none" w:sz="0" w:space="0" w:color="auto"/>
                    <w:bottom w:val="none" w:sz="0" w:space="0" w:color="auto"/>
                    <w:right w:val="none" w:sz="0" w:space="0" w:color="auto"/>
                  </w:divBdr>
                  <w:divsChild>
                    <w:div w:id="1925144976">
                      <w:marLeft w:val="0"/>
                      <w:marRight w:val="0"/>
                      <w:marTop w:val="0"/>
                      <w:marBottom w:val="0"/>
                      <w:divBdr>
                        <w:top w:val="none" w:sz="0" w:space="0" w:color="auto"/>
                        <w:left w:val="none" w:sz="0" w:space="0" w:color="auto"/>
                        <w:bottom w:val="none" w:sz="0" w:space="0" w:color="auto"/>
                        <w:right w:val="none" w:sz="0" w:space="0" w:color="auto"/>
                      </w:divBdr>
                    </w:div>
                  </w:divsChild>
                </w:div>
                <w:div w:id="72090145">
                  <w:marLeft w:val="0"/>
                  <w:marRight w:val="0"/>
                  <w:marTop w:val="0"/>
                  <w:marBottom w:val="0"/>
                  <w:divBdr>
                    <w:top w:val="none" w:sz="0" w:space="0" w:color="auto"/>
                    <w:left w:val="none" w:sz="0" w:space="0" w:color="auto"/>
                    <w:bottom w:val="none" w:sz="0" w:space="0" w:color="auto"/>
                    <w:right w:val="none" w:sz="0" w:space="0" w:color="auto"/>
                  </w:divBdr>
                  <w:divsChild>
                    <w:div w:id="440760128">
                      <w:marLeft w:val="0"/>
                      <w:marRight w:val="0"/>
                      <w:marTop w:val="0"/>
                      <w:marBottom w:val="0"/>
                      <w:divBdr>
                        <w:top w:val="none" w:sz="0" w:space="0" w:color="auto"/>
                        <w:left w:val="none" w:sz="0" w:space="0" w:color="auto"/>
                        <w:bottom w:val="none" w:sz="0" w:space="0" w:color="auto"/>
                        <w:right w:val="none" w:sz="0" w:space="0" w:color="auto"/>
                      </w:divBdr>
                    </w:div>
                  </w:divsChild>
                </w:div>
                <w:div w:id="77530415">
                  <w:marLeft w:val="0"/>
                  <w:marRight w:val="0"/>
                  <w:marTop w:val="0"/>
                  <w:marBottom w:val="0"/>
                  <w:divBdr>
                    <w:top w:val="none" w:sz="0" w:space="0" w:color="auto"/>
                    <w:left w:val="none" w:sz="0" w:space="0" w:color="auto"/>
                    <w:bottom w:val="none" w:sz="0" w:space="0" w:color="auto"/>
                    <w:right w:val="none" w:sz="0" w:space="0" w:color="auto"/>
                  </w:divBdr>
                  <w:divsChild>
                    <w:div w:id="1967930676">
                      <w:marLeft w:val="0"/>
                      <w:marRight w:val="0"/>
                      <w:marTop w:val="0"/>
                      <w:marBottom w:val="0"/>
                      <w:divBdr>
                        <w:top w:val="none" w:sz="0" w:space="0" w:color="auto"/>
                        <w:left w:val="none" w:sz="0" w:space="0" w:color="auto"/>
                        <w:bottom w:val="none" w:sz="0" w:space="0" w:color="auto"/>
                        <w:right w:val="none" w:sz="0" w:space="0" w:color="auto"/>
                      </w:divBdr>
                    </w:div>
                  </w:divsChild>
                </w:div>
                <w:div w:id="88695772">
                  <w:marLeft w:val="0"/>
                  <w:marRight w:val="0"/>
                  <w:marTop w:val="0"/>
                  <w:marBottom w:val="0"/>
                  <w:divBdr>
                    <w:top w:val="none" w:sz="0" w:space="0" w:color="auto"/>
                    <w:left w:val="none" w:sz="0" w:space="0" w:color="auto"/>
                    <w:bottom w:val="none" w:sz="0" w:space="0" w:color="auto"/>
                    <w:right w:val="none" w:sz="0" w:space="0" w:color="auto"/>
                  </w:divBdr>
                  <w:divsChild>
                    <w:div w:id="701514316">
                      <w:marLeft w:val="0"/>
                      <w:marRight w:val="0"/>
                      <w:marTop w:val="0"/>
                      <w:marBottom w:val="0"/>
                      <w:divBdr>
                        <w:top w:val="none" w:sz="0" w:space="0" w:color="auto"/>
                        <w:left w:val="none" w:sz="0" w:space="0" w:color="auto"/>
                        <w:bottom w:val="none" w:sz="0" w:space="0" w:color="auto"/>
                        <w:right w:val="none" w:sz="0" w:space="0" w:color="auto"/>
                      </w:divBdr>
                    </w:div>
                  </w:divsChild>
                </w:div>
                <w:div w:id="92821579">
                  <w:marLeft w:val="0"/>
                  <w:marRight w:val="0"/>
                  <w:marTop w:val="0"/>
                  <w:marBottom w:val="0"/>
                  <w:divBdr>
                    <w:top w:val="none" w:sz="0" w:space="0" w:color="auto"/>
                    <w:left w:val="none" w:sz="0" w:space="0" w:color="auto"/>
                    <w:bottom w:val="none" w:sz="0" w:space="0" w:color="auto"/>
                    <w:right w:val="none" w:sz="0" w:space="0" w:color="auto"/>
                  </w:divBdr>
                  <w:divsChild>
                    <w:div w:id="1697123399">
                      <w:marLeft w:val="0"/>
                      <w:marRight w:val="0"/>
                      <w:marTop w:val="0"/>
                      <w:marBottom w:val="0"/>
                      <w:divBdr>
                        <w:top w:val="none" w:sz="0" w:space="0" w:color="auto"/>
                        <w:left w:val="none" w:sz="0" w:space="0" w:color="auto"/>
                        <w:bottom w:val="none" w:sz="0" w:space="0" w:color="auto"/>
                        <w:right w:val="none" w:sz="0" w:space="0" w:color="auto"/>
                      </w:divBdr>
                    </w:div>
                  </w:divsChild>
                </w:div>
                <w:div w:id="140343322">
                  <w:marLeft w:val="0"/>
                  <w:marRight w:val="0"/>
                  <w:marTop w:val="0"/>
                  <w:marBottom w:val="0"/>
                  <w:divBdr>
                    <w:top w:val="none" w:sz="0" w:space="0" w:color="auto"/>
                    <w:left w:val="none" w:sz="0" w:space="0" w:color="auto"/>
                    <w:bottom w:val="none" w:sz="0" w:space="0" w:color="auto"/>
                    <w:right w:val="none" w:sz="0" w:space="0" w:color="auto"/>
                  </w:divBdr>
                  <w:divsChild>
                    <w:div w:id="472337196">
                      <w:marLeft w:val="0"/>
                      <w:marRight w:val="0"/>
                      <w:marTop w:val="0"/>
                      <w:marBottom w:val="0"/>
                      <w:divBdr>
                        <w:top w:val="none" w:sz="0" w:space="0" w:color="auto"/>
                        <w:left w:val="none" w:sz="0" w:space="0" w:color="auto"/>
                        <w:bottom w:val="none" w:sz="0" w:space="0" w:color="auto"/>
                        <w:right w:val="none" w:sz="0" w:space="0" w:color="auto"/>
                      </w:divBdr>
                    </w:div>
                  </w:divsChild>
                </w:div>
                <w:div w:id="149755208">
                  <w:marLeft w:val="0"/>
                  <w:marRight w:val="0"/>
                  <w:marTop w:val="0"/>
                  <w:marBottom w:val="0"/>
                  <w:divBdr>
                    <w:top w:val="none" w:sz="0" w:space="0" w:color="auto"/>
                    <w:left w:val="none" w:sz="0" w:space="0" w:color="auto"/>
                    <w:bottom w:val="none" w:sz="0" w:space="0" w:color="auto"/>
                    <w:right w:val="none" w:sz="0" w:space="0" w:color="auto"/>
                  </w:divBdr>
                  <w:divsChild>
                    <w:div w:id="170997904">
                      <w:marLeft w:val="0"/>
                      <w:marRight w:val="0"/>
                      <w:marTop w:val="0"/>
                      <w:marBottom w:val="0"/>
                      <w:divBdr>
                        <w:top w:val="none" w:sz="0" w:space="0" w:color="auto"/>
                        <w:left w:val="none" w:sz="0" w:space="0" w:color="auto"/>
                        <w:bottom w:val="none" w:sz="0" w:space="0" w:color="auto"/>
                        <w:right w:val="none" w:sz="0" w:space="0" w:color="auto"/>
                      </w:divBdr>
                    </w:div>
                  </w:divsChild>
                </w:div>
                <w:div w:id="204949336">
                  <w:marLeft w:val="0"/>
                  <w:marRight w:val="0"/>
                  <w:marTop w:val="0"/>
                  <w:marBottom w:val="0"/>
                  <w:divBdr>
                    <w:top w:val="none" w:sz="0" w:space="0" w:color="auto"/>
                    <w:left w:val="none" w:sz="0" w:space="0" w:color="auto"/>
                    <w:bottom w:val="none" w:sz="0" w:space="0" w:color="auto"/>
                    <w:right w:val="none" w:sz="0" w:space="0" w:color="auto"/>
                  </w:divBdr>
                  <w:divsChild>
                    <w:div w:id="1151949290">
                      <w:marLeft w:val="0"/>
                      <w:marRight w:val="0"/>
                      <w:marTop w:val="0"/>
                      <w:marBottom w:val="0"/>
                      <w:divBdr>
                        <w:top w:val="none" w:sz="0" w:space="0" w:color="auto"/>
                        <w:left w:val="none" w:sz="0" w:space="0" w:color="auto"/>
                        <w:bottom w:val="none" w:sz="0" w:space="0" w:color="auto"/>
                        <w:right w:val="none" w:sz="0" w:space="0" w:color="auto"/>
                      </w:divBdr>
                    </w:div>
                  </w:divsChild>
                </w:div>
                <w:div w:id="210044877">
                  <w:marLeft w:val="0"/>
                  <w:marRight w:val="0"/>
                  <w:marTop w:val="0"/>
                  <w:marBottom w:val="0"/>
                  <w:divBdr>
                    <w:top w:val="none" w:sz="0" w:space="0" w:color="auto"/>
                    <w:left w:val="none" w:sz="0" w:space="0" w:color="auto"/>
                    <w:bottom w:val="none" w:sz="0" w:space="0" w:color="auto"/>
                    <w:right w:val="none" w:sz="0" w:space="0" w:color="auto"/>
                  </w:divBdr>
                  <w:divsChild>
                    <w:div w:id="977563846">
                      <w:marLeft w:val="0"/>
                      <w:marRight w:val="0"/>
                      <w:marTop w:val="0"/>
                      <w:marBottom w:val="0"/>
                      <w:divBdr>
                        <w:top w:val="none" w:sz="0" w:space="0" w:color="auto"/>
                        <w:left w:val="none" w:sz="0" w:space="0" w:color="auto"/>
                        <w:bottom w:val="none" w:sz="0" w:space="0" w:color="auto"/>
                        <w:right w:val="none" w:sz="0" w:space="0" w:color="auto"/>
                      </w:divBdr>
                    </w:div>
                  </w:divsChild>
                </w:div>
                <w:div w:id="224990533">
                  <w:marLeft w:val="0"/>
                  <w:marRight w:val="0"/>
                  <w:marTop w:val="0"/>
                  <w:marBottom w:val="0"/>
                  <w:divBdr>
                    <w:top w:val="none" w:sz="0" w:space="0" w:color="auto"/>
                    <w:left w:val="none" w:sz="0" w:space="0" w:color="auto"/>
                    <w:bottom w:val="none" w:sz="0" w:space="0" w:color="auto"/>
                    <w:right w:val="none" w:sz="0" w:space="0" w:color="auto"/>
                  </w:divBdr>
                  <w:divsChild>
                    <w:div w:id="1003582923">
                      <w:marLeft w:val="0"/>
                      <w:marRight w:val="0"/>
                      <w:marTop w:val="0"/>
                      <w:marBottom w:val="0"/>
                      <w:divBdr>
                        <w:top w:val="none" w:sz="0" w:space="0" w:color="auto"/>
                        <w:left w:val="none" w:sz="0" w:space="0" w:color="auto"/>
                        <w:bottom w:val="none" w:sz="0" w:space="0" w:color="auto"/>
                        <w:right w:val="none" w:sz="0" w:space="0" w:color="auto"/>
                      </w:divBdr>
                    </w:div>
                  </w:divsChild>
                </w:div>
                <w:div w:id="246234380">
                  <w:marLeft w:val="0"/>
                  <w:marRight w:val="0"/>
                  <w:marTop w:val="0"/>
                  <w:marBottom w:val="0"/>
                  <w:divBdr>
                    <w:top w:val="none" w:sz="0" w:space="0" w:color="auto"/>
                    <w:left w:val="none" w:sz="0" w:space="0" w:color="auto"/>
                    <w:bottom w:val="none" w:sz="0" w:space="0" w:color="auto"/>
                    <w:right w:val="none" w:sz="0" w:space="0" w:color="auto"/>
                  </w:divBdr>
                  <w:divsChild>
                    <w:div w:id="1449078681">
                      <w:marLeft w:val="0"/>
                      <w:marRight w:val="0"/>
                      <w:marTop w:val="0"/>
                      <w:marBottom w:val="0"/>
                      <w:divBdr>
                        <w:top w:val="none" w:sz="0" w:space="0" w:color="auto"/>
                        <w:left w:val="none" w:sz="0" w:space="0" w:color="auto"/>
                        <w:bottom w:val="none" w:sz="0" w:space="0" w:color="auto"/>
                        <w:right w:val="none" w:sz="0" w:space="0" w:color="auto"/>
                      </w:divBdr>
                    </w:div>
                  </w:divsChild>
                </w:div>
                <w:div w:id="262499771">
                  <w:marLeft w:val="0"/>
                  <w:marRight w:val="0"/>
                  <w:marTop w:val="0"/>
                  <w:marBottom w:val="0"/>
                  <w:divBdr>
                    <w:top w:val="none" w:sz="0" w:space="0" w:color="auto"/>
                    <w:left w:val="none" w:sz="0" w:space="0" w:color="auto"/>
                    <w:bottom w:val="none" w:sz="0" w:space="0" w:color="auto"/>
                    <w:right w:val="none" w:sz="0" w:space="0" w:color="auto"/>
                  </w:divBdr>
                  <w:divsChild>
                    <w:div w:id="682976173">
                      <w:marLeft w:val="0"/>
                      <w:marRight w:val="0"/>
                      <w:marTop w:val="0"/>
                      <w:marBottom w:val="0"/>
                      <w:divBdr>
                        <w:top w:val="none" w:sz="0" w:space="0" w:color="auto"/>
                        <w:left w:val="none" w:sz="0" w:space="0" w:color="auto"/>
                        <w:bottom w:val="none" w:sz="0" w:space="0" w:color="auto"/>
                        <w:right w:val="none" w:sz="0" w:space="0" w:color="auto"/>
                      </w:divBdr>
                    </w:div>
                  </w:divsChild>
                </w:div>
                <w:div w:id="273219932">
                  <w:marLeft w:val="0"/>
                  <w:marRight w:val="0"/>
                  <w:marTop w:val="0"/>
                  <w:marBottom w:val="0"/>
                  <w:divBdr>
                    <w:top w:val="none" w:sz="0" w:space="0" w:color="auto"/>
                    <w:left w:val="none" w:sz="0" w:space="0" w:color="auto"/>
                    <w:bottom w:val="none" w:sz="0" w:space="0" w:color="auto"/>
                    <w:right w:val="none" w:sz="0" w:space="0" w:color="auto"/>
                  </w:divBdr>
                  <w:divsChild>
                    <w:div w:id="1161845096">
                      <w:marLeft w:val="0"/>
                      <w:marRight w:val="0"/>
                      <w:marTop w:val="0"/>
                      <w:marBottom w:val="0"/>
                      <w:divBdr>
                        <w:top w:val="none" w:sz="0" w:space="0" w:color="auto"/>
                        <w:left w:val="none" w:sz="0" w:space="0" w:color="auto"/>
                        <w:bottom w:val="none" w:sz="0" w:space="0" w:color="auto"/>
                        <w:right w:val="none" w:sz="0" w:space="0" w:color="auto"/>
                      </w:divBdr>
                    </w:div>
                  </w:divsChild>
                </w:div>
                <w:div w:id="277413909">
                  <w:marLeft w:val="0"/>
                  <w:marRight w:val="0"/>
                  <w:marTop w:val="0"/>
                  <w:marBottom w:val="0"/>
                  <w:divBdr>
                    <w:top w:val="none" w:sz="0" w:space="0" w:color="auto"/>
                    <w:left w:val="none" w:sz="0" w:space="0" w:color="auto"/>
                    <w:bottom w:val="none" w:sz="0" w:space="0" w:color="auto"/>
                    <w:right w:val="none" w:sz="0" w:space="0" w:color="auto"/>
                  </w:divBdr>
                  <w:divsChild>
                    <w:div w:id="1518346586">
                      <w:marLeft w:val="0"/>
                      <w:marRight w:val="0"/>
                      <w:marTop w:val="0"/>
                      <w:marBottom w:val="0"/>
                      <w:divBdr>
                        <w:top w:val="none" w:sz="0" w:space="0" w:color="auto"/>
                        <w:left w:val="none" w:sz="0" w:space="0" w:color="auto"/>
                        <w:bottom w:val="none" w:sz="0" w:space="0" w:color="auto"/>
                        <w:right w:val="none" w:sz="0" w:space="0" w:color="auto"/>
                      </w:divBdr>
                    </w:div>
                  </w:divsChild>
                </w:div>
                <w:div w:id="300187079">
                  <w:marLeft w:val="0"/>
                  <w:marRight w:val="0"/>
                  <w:marTop w:val="0"/>
                  <w:marBottom w:val="0"/>
                  <w:divBdr>
                    <w:top w:val="none" w:sz="0" w:space="0" w:color="auto"/>
                    <w:left w:val="none" w:sz="0" w:space="0" w:color="auto"/>
                    <w:bottom w:val="none" w:sz="0" w:space="0" w:color="auto"/>
                    <w:right w:val="none" w:sz="0" w:space="0" w:color="auto"/>
                  </w:divBdr>
                  <w:divsChild>
                    <w:div w:id="1509248533">
                      <w:marLeft w:val="0"/>
                      <w:marRight w:val="0"/>
                      <w:marTop w:val="0"/>
                      <w:marBottom w:val="0"/>
                      <w:divBdr>
                        <w:top w:val="none" w:sz="0" w:space="0" w:color="auto"/>
                        <w:left w:val="none" w:sz="0" w:space="0" w:color="auto"/>
                        <w:bottom w:val="none" w:sz="0" w:space="0" w:color="auto"/>
                        <w:right w:val="none" w:sz="0" w:space="0" w:color="auto"/>
                      </w:divBdr>
                    </w:div>
                  </w:divsChild>
                </w:div>
                <w:div w:id="320088133">
                  <w:marLeft w:val="0"/>
                  <w:marRight w:val="0"/>
                  <w:marTop w:val="0"/>
                  <w:marBottom w:val="0"/>
                  <w:divBdr>
                    <w:top w:val="none" w:sz="0" w:space="0" w:color="auto"/>
                    <w:left w:val="none" w:sz="0" w:space="0" w:color="auto"/>
                    <w:bottom w:val="none" w:sz="0" w:space="0" w:color="auto"/>
                    <w:right w:val="none" w:sz="0" w:space="0" w:color="auto"/>
                  </w:divBdr>
                  <w:divsChild>
                    <w:div w:id="926159173">
                      <w:marLeft w:val="0"/>
                      <w:marRight w:val="0"/>
                      <w:marTop w:val="0"/>
                      <w:marBottom w:val="0"/>
                      <w:divBdr>
                        <w:top w:val="none" w:sz="0" w:space="0" w:color="auto"/>
                        <w:left w:val="none" w:sz="0" w:space="0" w:color="auto"/>
                        <w:bottom w:val="none" w:sz="0" w:space="0" w:color="auto"/>
                        <w:right w:val="none" w:sz="0" w:space="0" w:color="auto"/>
                      </w:divBdr>
                    </w:div>
                  </w:divsChild>
                </w:div>
                <w:div w:id="340275964">
                  <w:marLeft w:val="0"/>
                  <w:marRight w:val="0"/>
                  <w:marTop w:val="0"/>
                  <w:marBottom w:val="0"/>
                  <w:divBdr>
                    <w:top w:val="none" w:sz="0" w:space="0" w:color="auto"/>
                    <w:left w:val="none" w:sz="0" w:space="0" w:color="auto"/>
                    <w:bottom w:val="none" w:sz="0" w:space="0" w:color="auto"/>
                    <w:right w:val="none" w:sz="0" w:space="0" w:color="auto"/>
                  </w:divBdr>
                  <w:divsChild>
                    <w:div w:id="2029981864">
                      <w:marLeft w:val="0"/>
                      <w:marRight w:val="0"/>
                      <w:marTop w:val="0"/>
                      <w:marBottom w:val="0"/>
                      <w:divBdr>
                        <w:top w:val="none" w:sz="0" w:space="0" w:color="auto"/>
                        <w:left w:val="none" w:sz="0" w:space="0" w:color="auto"/>
                        <w:bottom w:val="none" w:sz="0" w:space="0" w:color="auto"/>
                        <w:right w:val="none" w:sz="0" w:space="0" w:color="auto"/>
                      </w:divBdr>
                    </w:div>
                  </w:divsChild>
                </w:div>
                <w:div w:id="344940220">
                  <w:marLeft w:val="0"/>
                  <w:marRight w:val="0"/>
                  <w:marTop w:val="0"/>
                  <w:marBottom w:val="0"/>
                  <w:divBdr>
                    <w:top w:val="none" w:sz="0" w:space="0" w:color="auto"/>
                    <w:left w:val="none" w:sz="0" w:space="0" w:color="auto"/>
                    <w:bottom w:val="none" w:sz="0" w:space="0" w:color="auto"/>
                    <w:right w:val="none" w:sz="0" w:space="0" w:color="auto"/>
                  </w:divBdr>
                  <w:divsChild>
                    <w:div w:id="170336212">
                      <w:marLeft w:val="0"/>
                      <w:marRight w:val="0"/>
                      <w:marTop w:val="0"/>
                      <w:marBottom w:val="0"/>
                      <w:divBdr>
                        <w:top w:val="none" w:sz="0" w:space="0" w:color="auto"/>
                        <w:left w:val="none" w:sz="0" w:space="0" w:color="auto"/>
                        <w:bottom w:val="none" w:sz="0" w:space="0" w:color="auto"/>
                        <w:right w:val="none" w:sz="0" w:space="0" w:color="auto"/>
                      </w:divBdr>
                    </w:div>
                  </w:divsChild>
                </w:div>
                <w:div w:id="356738488">
                  <w:marLeft w:val="0"/>
                  <w:marRight w:val="0"/>
                  <w:marTop w:val="0"/>
                  <w:marBottom w:val="0"/>
                  <w:divBdr>
                    <w:top w:val="none" w:sz="0" w:space="0" w:color="auto"/>
                    <w:left w:val="none" w:sz="0" w:space="0" w:color="auto"/>
                    <w:bottom w:val="none" w:sz="0" w:space="0" w:color="auto"/>
                    <w:right w:val="none" w:sz="0" w:space="0" w:color="auto"/>
                  </w:divBdr>
                  <w:divsChild>
                    <w:div w:id="1033657381">
                      <w:marLeft w:val="0"/>
                      <w:marRight w:val="0"/>
                      <w:marTop w:val="0"/>
                      <w:marBottom w:val="0"/>
                      <w:divBdr>
                        <w:top w:val="none" w:sz="0" w:space="0" w:color="auto"/>
                        <w:left w:val="none" w:sz="0" w:space="0" w:color="auto"/>
                        <w:bottom w:val="none" w:sz="0" w:space="0" w:color="auto"/>
                        <w:right w:val="none" w:sz="0" w:space="0" w:color="auto"/>
                      </w:divBdr>
                    </w:div>
                  </w:divsChild>
                </w:div>
                <w:div w:id="368456087">
                  <w:marLeft w:val="0"/>
                  <w:marRight w:val="0"/>
                  <w:marTop w:val="0"/>
                  <w:marBottom w:val="0"/>
                  <w:divBdr>
                    <w:top w:val="none" w:sz="0" w:space="0" w:color="auto"/>
                    <w:left w:val="none" w:sz="0" w:space="0" w:color="auto"/>
                    <w:bottom w:val="none" w:sz="0" w:space="0" w:color="auto"/>
                    <w:right w:val="none" w:sz="0" w:space="0" w:color="auto"/>
                  </w:divBdr>
                  <w:divsChild>
                    <w:div w:id="900748221">
                      <w:marLeft w:val="0"/>
                      <w:marRight w:val="0"/>
                      <w:marTop w:val="0"/>
                      <w:marBottom w:val="0"/>
                      <w:divBdr>
                        <w:top w:val="none" w:sz="0" w:space="0" w:color="auto"/>
                        <w:left w:val="none" w:sz="0" w:space="0" w:color="auto"/>
                        <w:bottom w:val="none" w:sz="0" w:space="0" w:color="auto"/>
                        <w:right w:val="none" w:sz="0" w:space="0" w:color="auto"/>
                      </w:divBdr>
                    </w:div>
                  </w:divsChild>
                </w:div>
                <w:div w:id="398677932">
                  <w:marLeft w:val="0"/>
                  <w:marRight w:val="0"/>
                  <w:marTop w:val="0"/>
                  <w:marBottom w:val="0"/>
                  <w:divBdr>
                    <w:top w:val="none" w:sz="0" w:space="0" w:color="auto"/>
                    <w:left w:val="none" w:sz="0" w:space="0" w:color="auto"/>
                    <w:bottom w:val="none" w:sz="0" w:space="0" w:color="auto"/>
                    <w:right w:val="none" w:sz="0" w:space="0" w:color="auto"/>
                  </w:divBdr>
                  <w:divsChild>
                    <w:div w:id="435953710">
                      <w:marLeft w:val="0"/>
                      <w:marRight w:val="0"/>
                      <w:marTop w:val="0"/>
                      <w:marBottom w:val="0"/>
                      <w:divBdr>
                        <w:top w:val="none" w:sz="0" w:space="0" w:color="auto"/>
                        <w:left w:val="none" w:sz="0" w:space="0" w:color="auto"/>
                        <w:bottom w:val="none" w:sz="0" w:space="0" w:color="auto"/>
                        <w:right w:val="none" w:sz="0" w:space="0" w:color="auto"/>
                      </w:divBdr>
                    </w:div>
                  </w:divsChild>
                </w:div>
                <w:div w:id="405226051">
                  <w:marLeft w:val="0"/>
                  <w:marRight w:val="0"/>
                  <w:marTop w:val="0"/>
                  <w:marBottom w:val="0"/>
                  <w:divBdr>
                    <w:top w:val="none" w:sz="0" w:space="0" w:color="auto"/>
                    <w:left w:val="none" w:sz="0" w:space="0" w:color="auto"/>
                    <w:bottom w:val="none" w:sz="0" w:space="0" w:color="auto"/>
                    <w:right w:val="none" w:sz="0" w:space="0" w:color="auto"/>
                  </w:divBdr>
                  <w:divsChild>
                    <w:div w:id="226234340">
                      <w:marLeft w:val="0"/>
                      <w:marRight w:val="0"/>
                      <w:marTop w:val="0"/>
                      <w:marBottom w:val="0"/>
                      <w:divBdr>
                        <w:top w:val="none" w:sz="0" w:space="0" w:color="auto"/>
                        <w:left w:val="none" w:sz="0" w:space="0" w:color="auto"/>
                        <w:bottom w:val="none" w:sz="0" w:space="0" w:color="auto"/>
                        <w:right w:val="none" w:sz="0" w:space="0" w:color="auto"/>
                      </w:divBdr>
                    </w:div>
                  </w:divsChild>
                </w:div>
                <w:div w:id="410852421">
                  <w:marLeft w:val="0"/>
                  <w:marRight w:val="0"/>
                  <w:marTop w:val="0"/>
                  <w:marBottom w:val="0"/>
                  <w:divBdr>
                    <w:top w:val="none" w:sz="0" w:space="0" w:color="auto"/>
                    <w:left w:val="none" w:sz="0" w:space="0" w:color="auto"/>
                    <w:bottom w:val="none" w:sz="0" w:space="0" w:color="auto"/>
                    <w:right w:val="none" w:sz="0" w:space="0" w:color="auto"/>
                  </w:divBdr>
                  <w:divsChild>
                    <w:div w:id="2055691101">
                      <w:marLeft w:val="0"/>
                      <w:marRight w:val="0"/>
                      <w:marTop w:val="0"/>
                      <w:marBottom w:val="0"/>
                      <w:divBdr>
                        <w:top w:val="none" w:sz="0" w:space="0" w:color="auto"/>
                        <w:left w:val="none" w:sz="0" w:space="0" w:color="auto"/>
                        <w:bottom w:val="none" w:sz="0" w:space="0" w:color="auto"/>
                        <w:right w:val="none" w:sz="0" w:space="0" w:color="auto"/>
                      </w:divBdr>
                    </w:div>
                  </w:divsChild>
                </w:div>
                <w:div w:id="413598593">
                  <w:marLeft w:val="0"/>
                  <w:marRight w:val="0"/>
                  <w:marTop w:val="0"/>
                  <w:marBottom w:val="0"/>
                  <w:divBdr>
                    <w:top w:val="none" w:sz="0" w:space="0" w:color="auto"/>
                    <w:left w:val="none" w:sz="0" w:space="0" w:color="auto"/>
                    <w:bottom w:val="none" w:sz="0" w:space="0" w:color="auto"/>
                    <w:right w:val="none" w:sz="0" w:space="0" w:color="auto"/>
                  </w:divBdr>
                  <w:divsChild>
                    <w:div w:id="262960357">
                      <w:marLeft w:val="0"/>
                      <w:marRight w:val="0"/>
                      <w:marTop w:val="0"/>
                      <w:marBottom w:val="0"/>
                      <w:divBdr>
                        <w:top w:val="none" w:sz="0" w:space="0" w:color="auto"/>
                        <w:left w:val="none" w:sz="0" w:space="0" w:color="auto"/>
                        <w:bottom w:val="none" w:sz="0" w:space="0" w:color="auto"/>
                        <w:right w:val="none" w:sz="0" w:space="0" w:color="auto"/>
                      </w:divBdr>
                    </w:div>
                  </w:divsChild>
                </w:div>
                <w:div w:id="413939152">
                  <w:marLeft w:val="0"/>
                  <w:marRight w:val="0"/>
                  <w:marTop w:val="0"/>
                  <w:marBottom w:val="0"/>
                  <w:divBdr>
                    <w:top w:val="none" w:sz="0" w:space="0" w:color="auto"/>
                    <w:left w:val="none" w:sz="0" w:space="0" w:color="auto"/>
                    <w:bottom w:val="none" w:sz="0" w:space="0" w:color="auto"/>
                    <w:right w:val="none" w:sz="0" w:space="0" w:color="auto"/>
                  </w:divBdr>
                  <w:divsChild>
                    <w:div w:id="1438406639">
                      <w:marLeft w:val="0"/>
                      <w:marRight w:val="0"/>
                      <w:marTop w:val="0"/>
                      <w:marBottom w:val="0"/>
                      <w:divBdr>
                        <w:top w:val="none" w:sz="0" w:space="0" w:color="auto"/>
                        <w:left w:val="none" w:sz="0" w:space="0" w:color="auto"/>
                        <w:bottom w:val="none" w:sz="0" w:space="0" w:color="auto"/>
                        <w:right w:val="none" w:sz="0" w:space="0" w:color="auto"/>
                      </w:divBdr>
                    </w:div>
                  </w:divsChild>
                </w:div>
                <w:div w:id="453837914">
                  <w:marLeft w:val="0"/>
                  <w:marRight w:val="0"/>
                  <w:marTop w:val="0"/>
                  <w:marBottom w:val="0"/>
                  <w:divBdr>
                    <w:top w:val="none" w:sz="0" w:space="0" w:color="auto"/>
                    <w:left w:val="none" w:sz="0" w:space="0" w:color="auto"/>
                    <w:bottom w:val="none" w:sz="0" w:space="0" w:color="auto"/>
                    <w:right w:val="none" w:sz="0" w:space="0" w:color="auto"/>
                  </w:divBdr>
                  <w:divsChild>
                    <w:div w:id="1934240755">
                      <w:marLeft w:val="0"/>
                      <w:marRight w:val="0"/>
                      <w:marTop w:val="0"/>
                      <w:marBottom w:val="0"/>
                      <w:divBdr>
                        <w:top w:val="none" w:sz="0" w:space="0" w:color="auto"/>
                        <w:left w:val="none" w:sz="0" w:space="0" w:color="auto"/>
                        <w:bottom w:val="none" w:sz="0" w:space="0" w:color="auto"/>
                        <w:right w:val="none" w:sz="0" w:space="0" w:color="auto"/>
                      </w:divBdr>
                    </w:div>
                  </w:divsChild>
                </w:div>
                <w:div w:id="479200012">
                  <w:marLeft w:val="0"/>
                  <w:marRight w:val="0"/>
                  <w:marTop w:val="0"/>
                  <w:marBottom w:val="0"/>
                  <w:divBdr>
                    <w:top w:val="none" w:sz="0" w:space="0" w:color="auto"/>
                    <w:left w:val="none" w:sz="0" w:space="0" w:color="auto"/>
                    <w:bottom w:val="none" w:sz="0" w:space="0" w:color="auto"/>
                    <w:right w:val="none" w:sz="0" w:space="0" w:color="auto"/>
                  </w:divBdr>
                  <w:divsChild>
                    <w:div w:id="365255203">
                      <w:marLeft w:val="0"/>
                      <w:marRight w:val="0"/>
                      <w:marTop w:val="0"/>
                      <w:marBottom w:val="0"/>
                      <w:divBdr>
                        <w:top w:val="none" w:sz="0" w:space="0" w:color="auto"/>
                        <w:left w:val="none" w:sz="0" w:space="0" w:color="auto"/>
                        <w:bottom w:val="none" w:sz="0" w:space="0" w:color="auto"/>
                        <w:right w:val="none" w:sz="0" w:space="0" w:color="auto"/>
                      </w:divBdr>
                    </w:div>
                  </w:divsChild>
                </w:div>
                <w:div w:id="490759179">
                  <w:marLeft w:val="0"/>
                  <w:marRight w:val="0"/>
                  <w:marTop w:val="0"/>
                  <w:marBottom w:val="0"/>
                  <w:divBdr>
                    <w:top w:val="none" w:sz="0" w:space="0" w:color="auto"/>
                    <w:left w:val="none" w:sz="0" w:space="0" w:color="auto"/>
                    <w:bottom w:val="none" w:sz="0" w:space="0" w:color="auto"/>
                    <w:right w:val="none" w:sz="0" w:space="0" w:color="auto"/>
                  </w:divBdr>
                  <w:divsChild>
                    <w:div w:id="1981225529">
                      <w:marLeft w:val="0"/>
                      <w:marRight w:val="0"/>
                      <w:marTop w:val="0"/>
                      <w:marBottom w:val="0"/>
                      <w:divBdr>
                        <w:top w:val="none" w:sz="0" w:space="0" w:color="auto"/>
                        <w:left w:val="none" w:sz="0" w:space="0" w:color="auto"/>
                        <w:bottom w:val="none" w:sz="0" w:space="0" w:color="auto"/>
                        <w:right w:val="none" w:sz="0" w:space="0" w:color="auto"/>
                      </w:divBdr>
                    </w:div>
                  </w:divsChild>
                </w:div>
                <w:div w:id="493256437">
                  <w:marLeft w:val="0"/>
                  <w:marRight w:val="0"/>
                  <w:marTop w:val="0"/>
                  <w:marBottom w:val="0"/>
                  <w:divBdr>
                    <w:top w:val="none" w:sz="0" w:space="0" w:color="auto"/>
                    <w:left w:val="none" w:sz="0" w:space="0" w:color="auto"/>
                    <w:bottom w:val="none" w:sz="0" w:space="0" w:color="auto"/>
                    <w:right w:val="none" w:sz="0" w:space="0" w:color="auto"/>
                  </w:divBdr>
                  <w:divsChild>
                    <w:div w:id="1523283123">
                      <w:marLeft w:val="0"/>
                      <w:marRight w:val="0"/>
                      <w:marTop w:val="0"/>
                      <w:marBottom w:val="0"/>
                      <w:divBdr>
                        <w:top w:val="none" w:sz="0" w:space="0" w:color="auto"/>
                        <w:left w:val="none" w:sz="0" w:space="0" w:color="auto"/>
                        <w:bottom w:val="none" w:sz="0" w:space="0" w:color="auto"/>
                        <w:right w:val="none" w:sz="0" w:space="0" w:color="auto"/>
                      </w:divBdr>
                    </w:div>
                  </w:divsChild>
                </w:div>
                <w:div w:id="505024201">
                  <w:marLeft w:val="0"/>
                  <w:marRight w:val="0"/>
                  <w:marTop w:val="0"/>
                  <w:marBottom w:val="0"/>
                  <w:divBdr>
                    <w:top w:val="none" w:sz="0" w:space="0" w:color="auto"/>
                    <w:left w:val="none" w:sz="0" w:space="0" w:color="auto"/>
                    <w:bottom w:val="none" w:sz="0" w:space="0" w:color="auto"/>
                    <w:right w:val="none" w:sz="0" w:space="0" w:color="auto"/>
                  </w:divBdr>
                  <w:divsChild>
                    <w:div w:id="1046300517">
                      <w:marLeft w:val="0"/>
                      <w:marRight w:val="0"/>
                      <w:marTop w:val="0"/>
                      <w:marBottom w:val="0"/>
                      <w:divBdr>
                        <w:top w:val="none" w:sz="0" w:space="0" w:color="auto"/>
                        <w:left w:val="none" w:sz="0" w:space="0" w:color="auto"/>
                        <w:bottom w:val="none" w:sz="0" w:space="0" w:color="auto"/>
                        <w:right w:val="none" w:sz="0" w:space="0" w:color="auto"/>
                      </w:divBdr>
                    </w:div>
                  </w:divsChild>
                </w:div>
                <w:div w:id="510490708">
                  <w:marLeft w:val="0"/>
                  <w:marRight w:val="0"/>
                  <w:marTop w:val="0"/>
                  <w:marBottom w:val="0"/>
                  <w:divBdr>
                    <w:top w:val="none" w:sz="0" w:space="0" w:color="auto"/>
                    <w:left w:val="none" w:sz="0" w:space="0" w:color="auto"/>
                    <w:bottom w:val="none" w:sz="0" w:space="0" w:color="auto"/>
                    <w:right w:val="none" w:sz="0" w:space="0" w:color="auto"/>
                  </w:divBdr>
                  <w:divsChild>
                    <w:div w:id="1055396079">
                      <w:marLeft w:val="0"/>
                      <w:marRight w:val="0"/>
                      <w:marTop w:val="0"/>
                      <w:marBottom w:val="0"/>
                      <w:divBdr>
                        <w:top w:val="none" w:sz="0" w:space="0" w:color="auto"/>
                        <w:left w:val="none" w:sz="0" w:space="0" w:color="auto"/>
                        <w:bottom w:val="none" w:sz="0" w:space="0" w:color="auto"/>
                        <w:right w:val="none" w:sz="0" w:space="0" w:color="auto"/>
                      </w:divBdr>
                    </w:div>
                  </w:divsChild>
                </w:div>
                <w:div w:id="516239393">
                  <w:marLeft w:val="0"/>
                  <w:marRight w:val="0"/>
                  <w:marTop w:val="0"/>
                  <w:marBottom w:val="0"/>
                  <w:divBdr>
                    <w:top w:val="none" w:sz="0" w:space="0" w:color="auto"/>
                    <w:left w:val="none" w:sz="0" w:space="0" w:color="auto"/>
                    <w:bottom w:val="none" w:sz="0" w:space="0" w:color="auto"/>
                    <w:right w:val="none" w:sz="0" w:space="0" w:color="auto"/>
                  </w:divBdr>
                  <w:divsChild>
                    <w:div w:id="1426730872">
                      <w:marLeft w:val="0"/>
                      <w:marRight w:val="0"/>
                      <w:marTop w:val="0"/>
                      <w:marBottom w:val="0"/>
                      <w:divBdr>
                        <w:top w:val="none" w:sz="0" w:space="0" w:color="auto"/>
                        <w:left w:val="none" w:sz="0" w:space="0" w:color="auto"/>
                        <w:bottom w:val="none" w:sz="0" w:space="0" w:color="auto"/>
                        <w:right w:val="none" w:sz="0" w:space="0" w:color="auto"/>
                      </w:divBdr>
                    </w:div>
                  </w:divsChild>
                </w:div>
                <w:div w:id="517933711">
                  <w:marLeft w:val="0"/>
                  <w:marRight w:val="0"/>
                  <w:marTop w:val="0"/>
                  <w:marBottom w:val="0"/>
                  <w:divBdr>
                    <w:top w:val="none" w:sz="0" w:space="0" w:color="auto"/>
                    <w:left w:val="none" w:sz="0" w:space="0" w:color="auto"/>
                    <w:bottom w:val="none" w:sz="0" w:space="0" w:color="auto"/>
                    <w:right w:val="none" w:sz="0" w:space="0" w:color="auto"/>
                  </w:divBdr>
                  <w:divsChild>
                    <w:div w:id="502091402">
                      <w:marLeft w:val="0"/>
                      <w:marRight w:val="0"/>
                      <w:marTop w:val="0"/>
                      <w:marBottom w:val="0"/>
                      <w:divBdr>
                        <w:top w:val="none" w:sz="0" w:space="0" w:color="auto"/>
                        <w:left w:val="none" w:sz="0" w:space="0" w:color="auto"/>
                        <w:bottom w:val="none" w:sz="0" w:space="0" w:color="auto"/>
                        <w:right w:val="none" w:sz="0" w:space="0" w:color="auto"/>
                      </w:divBdr>
                    </w:div>
                  </w:divsChild>
                </w:div>
                <w:div w:id="518665178">
                  <w:marLeft w:val="0"/>
                  <w:marRight w:val="0"/>
                  <w:marTop w:val="0"/>
                  <w:marBottom w:val="0"/>
                  <w:divBdr>
                    <w:top w:val="none" w:sz="0" w:space="0" w:color="auto"/>
                    <w:left w:val="none" w:sz="0" w:space="0" w:color="auto"/>
                    <w:bottom w:val="none" w:sz="0" w:space="0" w:color="auto"/>
                    <w:right w:val="none" w:sz="0" w:space="0" w:color="auto"/>
                  </w:divBdr>
                  <w:divsChild>
                    <w:div w:id="1745058201">
                      <w:marLeft w:val="0"/>
                      <w:marRight w:val="0"/>
                      <w:marTop w:val="0"/>
                      <w:marBottom w:val="0"/>
                      <w:divBdr>
                        <w:top w:val="none" w:sz="0" w:space="0" w:color="auto"/>
                        <w:left w:val="none" w:sz="0" w:space="0" w:color="auto"/>
                        <w:bottom w:val="none" w:sz="0" w:space="0" w:color="auto"/>
                        <w:right w:val="none" w:sz="0" w:space="0" w:color="auto"/>
                      </w:divBdr>
                    </w:div>
                  </w:divsChild>
                </w:div>
                <w:div w:id="528880241">
                  <w:marLeft w:val="0"/>
                  <w:marRight w:val="0"/>
                  <w:marTop w:val="0"/>
                  <w:marBottom w:val="0"/>
                  <w:divBdr>
                    <w:top w:val="none" w:sz="0" w:space="0" w:color="auto"/>
                    <w:left w:val="none" w:sz="0" w:space="0" w:color="auto"/>
                    <w:bottom w:val="none" w:sz="0" w:space="0" w:color="auto"/>
                    <w:right w:val="none" w:sz="0" w:space="0" w:color="auto"/>
                  </w:divBdr>
                  <w:divsChild>
                    <w:div w:id="1527793703">
                      <w:marLeft w:val="0"/>
                      <w:marRight w:val="0"/>
                      <w:marTop w:val="0"/>
                      <w:marBottom w:val="0"/>
                      <w:divBdr>
                        <w:top w:val="none" w:sz="0" w:space="0" w:color="auto"/>
                        <w:left w:val="none" w:sz="0" w:space="0" w:color="auto"/>
                        <w:bottom w:val="none" w:sz="0" w:space="0" w:color="auto"/>
                        <w:right w:val="none" w:sz="0" w:space="0" w:color="auto"/>
                      </w:divBdr>
                    </w:div>
                  </w:divsChild>
                </w:div>
                <w:div w:id="533273772">
                  <w:marLeft w:val="0"/>
                  <w:marRight w:val="0"/>
                  <w:marTop w:val="0"/>
                  <w:marBottom w:val="0"/>
                  <w:divBdr>
                    <w:top w:val="none" w:sz="0" w:space="0" w:color="auto"/>
                    <w:left w:val="none" w:sz="0" w:space="0" w:color="auto"/>
                    <w:bottom w:val="none" w:sz="0" w:space="0" w:color="auto"/>
                    <w:right w:val="none" w:sz="0" w:space="0" w:color="auto"/>
                  </w:divBdr>
                  <w:divsChild>
                    <w:div w:id="1572619576">
                      <w:marLeft w:val="0"/>
                      <w:marRight w:val="0"/>
                      <w:marTop w:val="0"/>
                      <w:marBottom w:val="0"/>
                      <w:divBdr>
                        <w:top w:val="none" w:sz="0" w:space="0" w:color="auto"/>
                        <w:left w:val="none" w:sz="0" w:space="0" w:color="auto"/>
                        <w:bottom w:val="none" w:sz="0" w:space="0" w:color="auto"/>
                        <w:right w:val="none" w:sz="0" w:space="0" w:color="auto"/>
                      </w:divBdr>
                    </w:div>
                  </w:divsChild>
                </w:div>
                <w:div w:id="540438966">
                  <w:marLeft w:val="0"/>
                  <w:marRight w:val="0"/>
                  <w:marTop w:val="0"/>
                  <w:marBottom w:val="0"/>
                  <w:divBdr>
                    <w:top w:val="none" w:sz="0" w:space="0" w:color="auto"/>
                    <w:left w:val="none" w:sz="0" w:space="0" w:color="auto"/>
                    <w:bottom w:val="none" w:sz="0" w:space="0" w:color="auto"/>
                    <w:right w:val="none" w:sz="0" w:space="0" w:color="auto"/>
                  </w:divBdr>
                  <w:divsChild>
                    <w:div w:id="692727342">
                      <w:marLeft w:val="0"/>
                      <w:marRight w:val="0"/>
                      <w:marTop w:val="0"/>
                      <w:marBottom w:val="0"/>
                      <w:divBdr>
                        <w:top w:val="none" w:sz="0" w:space="0" w:color="auto"/>
                        <w:left w:val="none" w:sz="0" w:space="0" w:color="auto"/>
                        <w:bottom w:val="none" w:sz="0" w:space="0" w:color="auto"/>
                        <w:right w:val="none" w:sz="0" w:space="0" w:color="auto"/>
                      </w:divBdr>
                    </w:div>
                  </w:divsChild>
                </w:div>
                <w:div w:id="581641275">
                  <w:marLeft w:val="0"/>
                  <w:marRight w:val="0"/>
                  <w:marTop w:val="0"/>
                  <w:marBottom w:val="0"/>
                  <w:divBdr>
                    <w:top w:val="none" w:sz="0" w:space="0" w:color="auto"/>
                    <w:left w:val="none" w:sz="0" w:space="0" w:color="auto"/>
                    <w:bottom w:val="none" w:sz="0" w:space="0" w:color="auto"/>
                    <w:right w:val="none" w:sz="0" w:space="0" w:color="auto"/>
                  </w:divBdr>
                  <w:divsChild>
                    <w:div w:id="1884174738">
                      <w:marLeft w:val="0"/>
                      <w:marRight w:val="0"/>
                      <w:marTop w:val="0"/>
                      <w:marBottom w:val="0"/>
                      <w:divBdr>
                        <w:top w:val="none" w:sz="0" w:space="0" w:color="auto"/>
                        <w:left w:val="none" w:sz="0" w:space="0" w:color="auto"/>
                        <w:bottom w:val="none" w:sz="0" w:space="0" w:color="auto"/>
                        <w:right w:val="none" w:sz="0" w:space="0" w:color="auto"/>
                      </w:divBdr>
                    </w:div>
                  </w:divsChild>
                </w:div>
                <w:div w:id="601761227">
                  <w:marLeft w:val="0"/>
                  <w:marRight w:val="0"/>
                  <w:marTop w:val="0"/>
                  <w:marBottom w:val="0"/>
                  <w:divBdr>
                    <w:top w:val="none" w:sz="0" w:space="0" w:color="auto"/>
                    <w:left w:val="none" w:sz="0" w:space="0" w:color="auto"/>
                    <w:bottom w:val="none" w:sz="0" w:space="0" w:color="auto"/>
                    <w:right w:val="none" w:sz="0" w:space="0" w:color="auto"/>
                  </w:divBdr>
                  <w:divsChild>
                    <w:div w:id="1746756636">
                      <w:marLeft w:val="0"/>
                      <w:marRight w:val="0"/>
                      <w:marTop w:val="0"/>
                      <w:marBottom w:val="0"/>
                      <w:divBdr>
                        <w:top w:val="none" w:sz="0" w:space="0" w:color="auto"/>
                        <w:left w:val="none" w:sz="0" w:space="0" w:color="auto"/>
                        <w:bottom w:val="none" w:sz="0" w:space="0" w:color="auto"/>
                        <w:right w:val="none" w:sz="0" w:space="0" w:color="auto"/>
                      </w:divBdr>
                    </w:div>
                  </w:divsChild>
                </w:div>
                <w:div w:id="634912785">
                  <w:marLeft w:val="0"/>
                  <w:marRight w:val="0"/>
                  <w:marTop w:val="0"/>
                  <w:marBottom w:val="0"/>
                  <w:divBdr>
                    <w:top w:val="none" w:sz="0" w:space="0" w:color="auto"/>
                    <w:left w:val="none" w:sz="0" w:space="0" w:color="auto"/>
                    <w:bottom w:val="none" w:sz="0" w:space="0" w:color="auto"/>
                    <w:right w:val="none" w:sz="0" w:space="0" w:color="auto"/>
                  </w:divBdr>
                  <w:divsChild>
                    <w:div w:id="1689259293">
                      <w:marLeft w:val="0"/>
                      <w:marRight w:val="0"/>
                      <w:marTop w:val="0"/>
                      <w:marBottom w:val="0"/>
                      <w:divBdr>
                        <w:top w:val="none" w:sz="0" w:space="0" w:color="auto"/>
                        <w:left w:val="none" w:sz="0" w:space="0" w:color="auto"/>
                        <w:bottom w:val="none" w:sz="0" w:space="0" w:color="auto"/>
                        <w:right w:val="none" w:sz="0" w:space="0" w:color="auto"/>
                      </w:divBdr>
                    </w:div>
                  </w:divsChild>
                </w:div>
                <w:div w:id="635792182">
                  <w:marLeft w:val="0"/>
                  <w:marRight w:val="0"/>
                  <w:marTop w:val="0"/>
                  <w:marBottom w:val="0"/>
                  <w:divBdr>
                    <w:top w:val="none" w:sz="0" w:space="0" w:color="auto"/>
                    <w:left w:val="none" w:sz="0" w:space="0" w:color="auto"/>
                    <w:bottom w:val="none" w:sz="0" w:space="0" w:color="auto"/>
                    <w:right w:val="none" w:sz="0" w:space="0" w:color="auto"/>
                  </w:divBdr>
                  <w:divsChild>
                    <w:div w:id="1262839009">
                      <w:marLeft w:val="0"/>
                      <w:marRight w:val="0"/>
                      <w:marTop w:val="0"/>
                      <w:marBottom w:val="0"/>
                      <w:divBdr>
                        <w:top w:val="none" w:sz="0" w:space="0" w:color="auto"/>
                        <w:left w:val="none" w:sz="0" w:space="0" w:color="auto"/>
                        <w:bottom w:val="none" w:sz="0" w:space="0" w:color="auto"/>
                        <w:right w:val="none" w:sz="0" w:space="0" w:color="auto"/>
                      </w:divBdr>
                    </w:div>
                  </w:divsChild>
                </w:div>
                <w:div w:id="645008941">
                  <w:marLeft w:val="0"/>
                  <w:marRight w:val="0"/>
                  <w:marTop w:val="0"/>
                  <w:marBottom w:val="0"/>
                  <w:divBdr>
                    <w:top w:val="none" w:sz="0" w:space="0" w:color="auto"/>
                    <w:left w:val="none" w:sz="0" w:space="0" w:color="auto"/>
                    <w:bottom w:val="none" w:sz="0" w:space="0" w:color="auto"/>
                    <w:right w:val="none" w:sz="0" w:space="0" w:color="auto"/>
                  </w:divBdr>
                  <w:divsChild>
                    <w:div w:id="1842546503">
                      <w:marLeft w:val="0"/>
                      <w:marRight w:val="0"/>
                      <w:marTop w:val="0"/>
                      <w:marBottom w:val="0"/>
                      <w:divBdr>
                        <w:top w:val="none" w:sz="0" w:space="0" w:color="auto"/>
                        <w:left w:val="none" w:sz="0" w:space="0" w:color="auto"/>
                        <w:bottom w:val="none" w:sz="0" w:space="0" w:color="auto"/>
                        <w:right w:val="none" w:sz="0" w:space="0" w:color="auto"/>
                      </w:divBdr>
                    </w:div>
                  </w:divsChild>
                </w:div>
                <w:div w:id="655719608">
                  <w:marLeft w:val="0"/>
                  <w:marRight w:val="0"/>
                  <w:marTop w:val="0"/>
                  <w:marBottom w:val="0"/>
                  <w:divBdr>
                    <w:top w:val="none" w:sz="0" w:space="0" w:color="auto"/>
                    <w:left w:val="none" w:sz="0" w:space="0" w:color="auto"/>
                    <w:bottom w:val="none" w:sz="0" w:space="0" w:color="auto"/>
                    <w:right w:val="none" w:sz="0" w:space="0" w:color="auto"/>
                  </w:divBdr>
                  <w:divsChild>
                    <w:div w:id="1235118088">
                      <w:marLeft w:val="0"/>
                      <w:marRight w:val="0"/>
                      <w:marTop w:val="0"/>
                      <w:marBottom w:val="0"/>
                      <w:divBdr>
                        <w:top w:val="none" w:sz="0" w:space="0" w:color="auto"/>
                        <w:left w:val="none" w:sz="0" w:space="0" w:color="auto"/>
                        <w:bottom w:val="none" w:sz="0" w:space="0" w:color="auto"/>
                        <w:right w:val="none" w:sz="0" w:space="0" w:color="auto"/>
                      </w:divBdr>
                    </w:div>
                  </w:divsChild>
                </w:div>
                <w:div w:id="688413367">
                  <w:marLeft w:val="0"/>
                  <w:marRight w:val="0"/>
                  <w:marTop w:val="0"/>
                  <w:marBottom w:val="0"/>
                  <w:divBdr>
                    <w:top w:val="none" w:sz="0" w:space="0" w:color="auto"/>
                    <w:left w:val="none" w:sz="0" w:space="0" w:color="auto"/>
                    <w:bottom w:val="none" w:sz="0" w:space="0" w:color="auto"/>
                    <w:right w:val="none" w:sz="0" w:space="0" w:color="auto"/>
                  </w:divBdr>
                  <w:divsChild>
                    <w:div w:id="1566792851">
                      <w:marLeft w:val="0"/>
                      <w:marRight w:val="0"/>
                      <w:marTop w:val="0"/>
                      <w:marBottom w:val="0"/>
                      <w:divBdr>
                        <w:top w:val="none" w:sz="0" w:space="0" w:color="auto"/>
                        <w:left w:val="none" w:sz="0" w:space="0" w:color="auto"/>
                        <w:bottom w:val="none" w:sz="0" w:space="0" w:color="auto"/>
                        <w:right w:val="none" w:sz="0" w:space="0" w:color="auto"/>
                      </w:divBdr>
                    </w:div>
                  </w:divsChild>
                </w:div>
                <w:div w:id="703746817">
                  <w:marLeft w:val="0"/>
                  <w:marRight w:val="0"/>
                  <w:marTop w:val="0"/>
                  <w:marBottom w:val="0"/>
                  <w:divBdr>
                    <w:top w:val="none" w:sz="0" w:space="0" w:color="auto"/>
                    <w:left w:val="none" w:sz="0" w:space="0" w:color="auto"/>
                    <w:bottom w:val="none" w:sz="0" w:space="0" w:color="auto"/>
                    <w:right w:val="none" w:sz="0" w:space="0" w:color="auto"/>
                  </w:divBdr>
                  <w:divsChild>
                    <w:div w:id="611594982">
                      <w:marLeft w:val="0"/>
                      <w:marRight w:val="0"/>
                      <w:marTop w:val="0"/>
                      <w:marBottom w:val="0"/>
                      <w:divBdr>
                        <w:top w:val="none" w:sz="0" w:space="0" w:color="auto"/>
                        <w:left w:val="none" w:sz="0" w:space="0" w:color="auto"/>
                        <w:bottom w:val="none" w:sz="0" w:space="0" w:color="auto"/>
                        <w:right w:val="none" w:sz="0" w:space="0" w:color="auto"/>
                      </w:divBdr>
                    </w:div>
                  </w:divsChild>
                </w:div>
                <w:div w:id="706610938">
                  <w:marLeft w:val="0"/>
                  <w:marRight w:val="0"/>
                  <w:marTop w:val="0"/>
                  <w:marBottom w:val="0"/>
                  <w:divBdr>
                    <w:top w:val="none" w:sz="0" w:space="0" w:color="auto"/>
                    <w:left w:val="none" w:sz="0" w:space="0" w:color="auto"/>
                    <w:bottom w:val="none" w:sz="0" w:space="0" w:color="auto"/>
                    <w:right w:val="none" w:sz="0" w:space="0" w:color="auto"/>
                  </w:divBdr>
                  <w:divsChild>
                    <w:div w:id="1135754832">
                      <w:marLeft w:val="0"/>
                      <w:marRight w:val="0"/>
                      <w:marTop w:val="0"/>
                      <w:marBottom w:val="0"/>
                      <w:divBdr>
                        <w:top w:val="none" w:sz="0" w:space="0" w:color="auto"/>
                        <w:left w:val="none" w:sz="0" w:space="0" w:color="auto"/>
                        <w:bottom w:val="none" w:sz="0" w:space="0" w:color="auto"/>
                        <w:right w:val="none" w:sz="0" w:space="0" w:color="auto"/>
                      </w:divBdr>
                    </w:div>
                  </w:divsChild>
                </w:div>
                <w:div w:id="710423101">
                  <w:marLeft w:val="0"/>
                  <w:marRight w:val="0"/>
                  <w:marTop w:val="0"/>
                  <w:marBottom w:val="0"/>
                  <w:divBdr>
                    <w:top w:val="none" w:sz="0" w:space="0" w:color="auto"/>
                    <w:left w:val="none" w:sz="0" w:space="0" w:color="auto"/>
                    <w:bottom w:val="none" w:sz="0" w:space="0" w:color="auto"/>
                    <w:right w:val="none" w:sz="0" w:space="0" w:color="auto"/>
                  </w:divBdr>
                  <w:divsChild>
                    <w:div w:id="533542914">
                      <w:marLeft w:val="0"/>
                      <w:marRight w:val="0"/>
                      <w:marTop w:val="0"/>
                      <w:marBottom w:val="0"/>
                      <w:divBdr>
                        <w:top w:val="none" w:sz="0" w:space="0" w:color="auto"/>
                        <w:left w:val="none" w:sz="0" w:space="0" w:color="auto"/>
                        <w:bottom w:val="none" w:sz="0" w:space="0" w:color="auto"/>
                        <w:right w:val="none" w:sz="0" w:space="0" w:color="auto"/>
                      </w:divBdr>
                    </w:div>
                  </w:divsChild>
                </w:div>
                <w:div w:id="751900129">
                  <w:marLeft w:val="0"/>
                  <w:marRight w:val="0"/>
                  <w:marTop w:val="0"/>
                  <w:marBottom w:val="0"/>
                  <w:divBdr>
                    <w:top w:val="none" w:sz="0" w:space="0" w:color="auto"/>
                    <w:left w:val="none" w:sz="0" w:space="0" w:color="auto"/>
                    <w:bottom w:val="none" w:sz="0" w:space="0" w:color="auto"/>
                    <w:right w:val="none" w:sz="0" w:space="0" w:color="auto"/>
                  </w:divBdr>
                  <w:divsChild>
                    <w:div w:id="404110905">
                      <w:marLeft w:val="0"/>
                      <w:marRight w:val="0"/>
                      <w:marTop w:val="0"/>
                      <w:marBottom w:val="0"/>
                      <w:divBdr>
                        <w:top w:val="none" w:sz="0" w:space="0" w:color="auto"/>
                        <w:left w:val="none" w:sz="0" w:space="0" w:color="auto"/>
                        <w:bottom w:val="none" w:sz="0" w:space="0" w:color="auto"/>
                        <w:right w:val="none" w:sz="0" w:space="0" w:color="auto"/>
                      </w:divBdr>
                    </w:div>
                  </w:divsChild>
                </w:div>
                <w:div w:id="789973635">
                  <w:marLeft w:val="0"/>
                  <w:marRight w:val="0"/>
                  <w:marTop w:val="0"/>
                  <w:marBottom w:val="0"/>
                  <w:divBdr>
                    <w:top w:val="none" w:sz="0" w:space="0" w:color="auto"/>
                    <w:left w:val="none" w:sz="0" w:space="0" w:color="auto"/>
                    <w:bottom w:val="none" w:sz="0" w:space="0" w:color="auto"/>
                    <w:right w:val="none" w:sz="0" w:space="0" w:color="auto"/>
                  </w:divBdr>
                  <w:divsChild>
                    <w:div w:id="1556743343">
                      <w:marLeft w:val="0"/>
                      <w:marRight w:val="0"/>
                      <w:marTop w:val="0"/>
                      <w:marBottom w:val="0"/>
                      <w:divBdr>
                        <w:top w:val="none" w:sz="0" w:space="0" w:color="auto"/>
                        <w:left w:val="none" w:sz="0" w:space="0" w:color="auto"/>
                        <w:bottom w:val="none" w:sz="0" w:space="0" w:color="auto"/>
                        <w:right w:val="none" w:sz="0" w:space="0" w:color="auto"/>
                      </w:divBdr>
                    </w:div>
                  </w:divsChild>
                </w:div>
                <w:div w:id="792334561">
                  <w:marLeft w:val="0"/>
                  <w:marRight w:val="0"/>
                  <w:marTop w:val="0"/>
                  <w:marBottom w:val="0"/>
                  <w:divBdr>
                    <w:top w:val="none" w:sz="0" w:space="0" w:color="auto"/>
                    <w:left w:val="none" w:sz="0" w:space="0" w:color="auto"/>
                    <w:bottom w:val="none" w:sz="0" w:space="0" w:color="auto"/>
                    <w:right w:val="none" w:sz="0" w:space="0" w:color="auto"/>
                  </w:divBdr>
                  <w:divsChild>
                    <w:div w:id="1947342504">
                      <w:marLeft w:val="0"/>
                      <w:marRight w:val="0"/>
                      <w:marTop w:val="0"/>
                      <w:marBottom w:val="0"/>
                      <w:divBdr>
                        <w:top w:val="none" w:sz="0" w:space="0" w:color="auto"/>
                        <w:left w:val="none" w:sz="0" w:space="0" w:color="auto"/>
                        <w:bottom w:val="none" w:sz="0" w:space="0" w:color="auto"/>
                        <w:right w:val="none" w:sz="0" w:space="0" w:color="auto"/>
                      </w:divBdr>
                    </w:div>
                  </w:divsChild>
                </w:div>
                <w:div w:id="800920502">
                  <w:marLeft w:val="0"/>
                  <w:marRight w:val="0"/>
                  <w:marTop w:val="0"/>
                  <w:marBottom w:val="0"/>
                  <w:divBdr>
                    <w:top w:val="none" w:sz="0" w:space="0" w:color="auto"/>
                    <w:left w:val="none" w:sz="0" w:space="0" w:color="auto"/>
                    <w:bottom w:val="none" w:sz="0" w:space="0" w:color="auto"/>
                    <w:right w:val="none" w:sz="0" w:space="0" w:color="auto"/>
                  </w:divBdr>
                  <w:divsChild>
                    <w:div w:id="2124228348">
                      <w:marLeft w:val="0"/>
                      <w:marRight w:val="0"/>
                      <w:marTop w:val="0"/>
                      <w:marBottom w:val="0"/>
                      <w:divBdr>
                        <w:top w:val="none" w:sz="0" w:space="0" w:color="auto"/>
                        <w:left w:val="none" w:sz="0" w:space="0" w:color="auto"/>
                        <w:bottom w:val="none" w:sz="0" w:space="0" w:color="auto"/>
                        <w:right w:val="none" w:sz="0" w:space="0" w:color="auto"/>
                      </w:divBdr>
                    </w:div>
                  </w:divsChild>
                </w:div>
                <w:div w:id="807163207">
                  <w:marLeft w:val="0"/>
                  <w:marRight w:val="0"/>
                  <w:marTop w:val="0"/>
                  <w:marBottom w:val="0"/>
                  <w:divBdr>
                    <w:top w:val="none" w:sz="0" w:space="0" w:color="auto"/>
                    <w:left w:val="none" w:sz="0" w:space="0" w:color="auto"/>
                    <w:bottom w:val="none" w:sz="0" w:space="0" w:color="auto"/>
                    <w:right w:val="none" w:sz="0" w:space="0" w:color="auto"/>
                  </w:divBdr>
                  <w:divsChild>
                    <w:div w:id="340738484">
                      <w:marLeft w:val="0"/>
                      <w:marRight w:val="0"/>
                      <w:marTop w:val="0"/>
                      <w:marBottom w:val="0"/>
                      <w:divBdr>
                        <w:top w:val="none" w:sz="0" w:space="0" w:color="auto"/>
                        <w:left w:val="none" w:sz="0" w:space="0" w:color="auto"/>
                        <w:bottom w:val="none" w:sz="0" w:space="0" w:color="auto"/>
                        <w:right w:val="none" w:sz="0" w:space="0" w:color="auto"/>
                      </w:divBdr>
                    </w:div>
                  </w:divsChild>
                </w:div>
                <w:div w:id="814372420">
                  <w:marLeft w:val="0"/>
                  <w:marRight w:val="0"/>
                  <w:marTop w:val="0"/>
                  <w:marBottom w:val="0"/>
                  <w:divBdr>
                    <w:top w:val="none" w:sz="0" w:space="0" w:color="auto"/>
                    <w:left w:val="none" w:sz="0" w:space="0" w:color="auto"/>
                    <w:bottom w:val="none" w:sz="0" w:space="0" w:color="auto"/>
                    <w:right w:val="none" w:sz="0" w:space="0" w:color="auto"/>
                  </w:divBdr>
                  <w:divsChild>
                    <w:div w:id="1812022221">
                      <w:marLeft w:val="0"/>
                      <w:marRight w:val="0"/>
                      <w:marTop w:val="0"/>
                      <w:marBottom w:val="0"/>
                      <w:divBdr>
                        <w:top w:val="none" w:sz="0" w:space="0" w:color="auto"/>
                        <w:left w:val="none" w:sz="0" w:space="0" w:color="auto"/>
                        <w:bottom w:val="none" w:sz="0" w:space="0" w:color="auto"/>
                        <w:right w:val="none" w:sz="0" w:space="0" w:color="auto"/>
                      </w:divBdr>
                    </w:div>
                  </w:divsChild>
                </w:div>
                <w:div w:id="826089185">
                  <w:marLeft w:val="0"/>
                  <w:marRight w:val="0"/>
                  <w:marTop w:val="0"/>
                  <w:marBottom w:val="0"/>
                  <w:divBdr>
                    <w:top w:val="none" w:sz="0" w:space="0" w:color="auto"/>
                    <w:left w:val="none" w:sz="0" w:space="0" w:color="auto"/>
                    <w:bottom w:val="none" w:sz="0" w:space="0" w:color="auto"/>
                    <w:right w:val="none" w:sz="0" w:space="0" w:color="auto"/>
                  </w:divBdr>
                  <w:divsChild>
                    <w:div w:id="1490748461">
                      <w:marLeft w:val="0"/>
                      <w:marRight w:val="0"/>
                      <w:marTop w:val="0"/>
                      <w:marBottom w:val="0"/>
                      <w:divBdr>
                        <w:top w:val="none" w:sz="0" w:space="0" w:color="auto"/>
                        <w:left w:val="none" w:sz="0" w:space="0" w:color="auto"/>
                        <w:bottom w:val="none" w:sz="0" w:space="0" w:color="auto"/>
                        <w:right w:val="none" w:sz="0" w:space="0" w:color="auto"/>
                      </w:divBdr>
                    </w:div>
                  </w:divsChild>
                </w:div>
                <w:div w:id="831140067">
                  <w:marLeft w:val="0"/>
                  <w:marRight w:val="0"/>
                  <w:marTop w:val="0"/>
                  <w:marBottom w:val="0"/>
                  <w:divBdr>
                    <w:top w:val="none" w:sz="0" w:space="0" w:color="auto"/>
                    <w:left w:val="none" w:sz="0" w:space="0" w:color="auto"/>
                    <w:bottom w:val="none" w:sz="0" w:space="0" w:color="auto"/>
                    <w:right w:val="none" w:sz="0" w:space="0" w:color="auto"/>
                  </w:divBdr>
                  <w:divsChild>
                    <w:div w:id="562641538">
                      <w:marLeft w:val="0"/>
                      <w:marRight w:val="0"/>
                      <w:marTop w:val="0"/>
                      <w:marBottom w:val="0"/>
                      <w:divBdr>
                        <w:top w:val="none" w:sz="0" w:space="0" w:color="auto"/>
                        <w:left w:val="none" w:sz="0" w:space="0" w:color="auto"/>
                        <w:bottom w:val="none" w:sz="0" w:space="0" w:color="auto"/>
                        <w:right w:val="none" w:sz="0" w:space="0" w:color="auto"/>
                      </w:divBdr>
                    </w:div>
                  </w:divsChild>
                </w:div>
                <w:div w:id="837113595">
                  <w:marLeft w:val="0"/>
                  <w:marRight w:val="0"/>
                  <w:marTop w:val="0"/>
                  <w:marBottom w:val="0"/>
                  <w:divBdr>
                    <w:top w:val="none" w:sz="0" w:space="0" w:color="auto"/>
                    <w:left w:val="none" w:sz="0" w:space="0" w:color="auto"/>
                    <w:bottom w:val="none" w:sz="0" w:space="0" w:color="auto"/>
                    <w:right w:val="none" w:sz="0" w:space="0" w:color="auto"/>
                  </w:divBdr>
                  <w:divsChild>
                    <w:div w:id="778337917">
                      <w:marLeft w:val="0"/>
                      <w:marRight w:val="0"/>
                      <w:marTop w:val="0"/>
                      <w:marBottom w:val="0"/>
                      <w:divBdr>
                        <w:top w:val="none" w:sz="0" w:space="0" w:color="auto"/>
                        <w:left w:val="none" w:sz="0" w:space="0" w:color="auto"/>
                        <w:bottom w:val="none" w:sz="0" w:space="0" w:color="auto"/>
                        <w:right w:val="none" w:sz="0" w:space="0" w:color="auto"/>
                      </w:divBdr>
                    </w:div>
                  </w:divsChild>
                </w:div>
                <w:div w:id="840780085">
                  <w:marLeft w:val="0"/>
                  <w:marRight w:val="0"/>
                  <w:marTop w:val="0"/>
                  <w:marBottom w:val="0"/>
                  <w:divBdr>
                    <w:top w:val="none" w:sz="0" w:space="0" w:color="auto"/>
                    <w:left w:val="none" w:sz="0" w:space="0" w:color="auto"/>
                    <w:bottom w:val="none" w:sz="0" w:space="0" w:color="auto"/>
                    <w:right w:val="none" w:sz="0" w:space="0" w:color="auto"/>
                  </w:divBdr>
                  <w:divsChild>
                    <w:div w:id="1019814822">
                      <w:marLeft w:val="0"/>
                      <w:marRight w:val="0"/>
                      <w:marTop w:val="0"/>
                      <w:marBottom w:val="0"/>
                      <w:divBdr>
                        <w:top w:val="none" w:sz="0" w:space="0" w:color="auto"/>
                        <w:left w:val="none" w:sz="0" w:space="0" w:color="auto"/>
                        <w:bottom w:val="none" w:sz="0" w:space="0" w:color="auto"/>
                        <w:right w:val="none" w:sz="0" w:space="0" w:color="auto"/>
                      </w:divBdr>
                    </w:div>
                  </w:divsChild>
                </w:div>
                <w:div w:id="845091564">
                  <w:marLeft w:val="0"/>
                  <w:marRight w:val="0"/>
                  <w:marTop w:val="0"/>
                  <w:marBottom w:val="0"/>
                  <w:divBdr>
                    <w:top w:val="none" w:sz="0" w:space="0" w:color="auto"/>
                    <w:left w:val="none" w:sz="0" w:space="0" w:color="auto"/>
                    <w:bottom w:val="none" w:sz="0" w:space="0" w:color="auto"/>
                    <w:right w:val="none" w:sz="0" w:space="0" w:color="auto"/>
                  </w:divBdr>
                  <w:divsChild>
                    <w:div w:id="1467116683">
                      <w:marLeft w:val="0"/>
                      <w:marRight w:val="0"/>
                      <w:marTop w:val="0"/>
                      <w:marBottom w:val="0"/>
                      <w:divBdr>
                        <w:top w:val="none" w:sz="0" w:space="0" w:color="auto"/>
                        <w:left w:val="none" w:sz="0" w:space="0" w:color="auto"/>
                        <w:bottom w:val="none" w:sz="0" w:space="0" w:color="auto"/>
                        <w:right w:val="none" w:sz="0" w:space="0" w:color="auto"/>
                      </w:divBdr>
                    </w:div>
                  </w:divsChild>
                </w:div>
                <w:div w:id="856387865">
                  <w:marLeft w:val="0"/>
                  <w:marRight w:val="0"/>
                  <w:marTop w:val="0"/>
                  <w:marBottom w:val="0"/>
                  <w:divBdr>
                    <w:top w:val="none" w:sz="0" w:space="0" w:color="auto"/>
                    <w:left w:val="none" w:sz="0" w:space="0" w:color="auto"/>
                    <w:bottom w:val="none" w:sz="0" w:space="0" w:color="auto"/>
                    <w:right w:val="none" w:sz="0" w:space="0" w:color="auto"/>
                  </w:divBdr>
                  <w:divsChild>
                    <w:div w:id="2145736975">
                      <w:marLeft w:val="0"/>
                      <w:marRight w:val="0"/>
                      <w:marTop w:val="0"/>
                      <w:marBottom w:val="0"/>
                      <w:divBdr>
                        <w:top w:val="none" w:sz="0" w:space="0" w:color="auto"/>
                        <w:left w:val="none" w:sz="0" w:space="0" w:color="auto"/>
                        <w:bottom w:val="none" w:sz="0" w:space="0" w:color="auto"/>
                        <w:right w:val="none" w:sz="0" w:space="0" w:color="auto"/>
                      </w:divBdr>
                    </w:div>
                  </w:divsChild>
                </w:div>
                <w:div w:id="885986645">
                  <w:marLeft w:val="0"/>
                  <w:marRight w:val="0"/>
                  <w:marTop w:val="0"/>
                  <w:marBottom w:val="0"/>
                  <w:divBdr>
                    <w:top w:val="none" w:sz="0" w:space="0" w:color="auto"/>
                    <w:left w:val="none" w:sz="0" w:space="0" w:color="auto"/>
                    <w:bottom w:val="none" w:sz="0" w:space="0" w:color="auto"/>
                    <w:right w:val="none" w:sz="0" w:space="0" w:color="auto"/>
                  </w:divBdr>
                  <w:divsChild>
                    <w:div w:id="723607130">
                      <w:marLeft w:val="0"/>
                      <w:marRight w:val="0"/>
                      <w:marTop w:val="0"/>
                      <w:marBottom w:val="0"/>
                      <w:divBdr>
                        <w:top w:val="none" w:sz="0" w:space="0" w:color="auto"/>
                        <w:left w:val="none" w:sz="0" w:space="0" w:color="auto"/>
                        <w:bottom w:val="none" w:sz="0" w:space="0" w:color="auto"/>
                        <w:right w:val="none" w:sz="0" w:space="0" w:color="auto"/>
                      </w:divBdr>
                    </w:div>
                  </w:divsChild>
                </w:div>
                <w:div w:id="889733927">
                  <w:marLeft w:val="0"/>
                  <w:marRight w:val="0"/>
                  <w:marTop w:val="0"/>
                  <w:marBottom w:val="0"/>
                  <w:divBdr>
                    <w:top w:val="none" w:sz="0" w:space="0" w:color="auto"/>
                    <w:left w:val="none" w:sz="0" w:space="0" w:color="auto"/>
                    <w:bottom w:val="none" w:sz="0" w:space="0" w:color="auto"/>
                    <w:right w:val="none" w:sz="0" w:space="0" w:color="auto"/>
                  </w:divBdr>
                  <w:divsChild>
                    <w:div w:id="604192797">
                      <w:marLeft w:val="0"/>
                      <w:marRight w:val="0"/>
                      <w:marTop w:val="0"/>
                      <w:marBottom w:val="0"/>
                      <w:divBdr>
                        <w:top w:val="none" w:sz="0" w:space="0" w:color="auto"/>
                        <w:left w:val="none" w:sz="0" w:space="0" w:color="auto"/>
                        <w:bottom w:val="none" w:sz="0" w:space="0" w:color="auto"/>
                        <w:right w:val="none" w:sz="0" w:space="0" w:color="auto"/>
                      </w:divBdr>
                    </w:div>
                  </w:divsChild>
                </w:div>
                <w:div w:id="918178670">
                  <w:marLeft w:val="0"/>
                  <w:marRight w:val="0"/>
                  <w:marTop w:val="0"/>
                  <w:marBottom w:val="0"/>
                  <w:divBdr>
                    <w:top w:val="none" w:sz="0" w:space="0" w:color="auto"/>
                    <w:left w:val="none" w:sz="0" w:space="0" w:color="auto"/>
                    <w:bottom w:val="none" w:sz="0" w:space="0" w:color="auto"/>
                    <w:right w:val="none" w:sz="0" w:space="0" w:color="auto"/>
                  </w:divBdr>
                  <w:divsChild>
                    <w:div w:id="825785818">
                      <w:marLeft w:val="0"/>
                      <w:marRight w:val="0"/>
                      <w:marTop w:val="0"/>
                      <w:marBottom w:val="0"/>
                      <w:divBdr>
                        <w:top w:val="none" w:sz="0" w:space="0" w:color="auto"/>
                        <w:left w:val="none" w:sz="0" w:space="0" w:color="auto"/>
                        <w:bottom w:val="none" w:sz="0" w:space="0" w:color="auto"/>
                        <w:right w:val="none" w:sz="0" w:space="0" w:color="auto"/>
                      </w:divBdr>
                    </w:div>
                  </w:divsChild>
                </w:div>
                <w:div w:id="928847896">
                  <w:marLeft w:val="0"/>
                  <w:marRight w:val="0"/>
                  <w:marTop w:val="0"/>
                  <w:marBottom w:val="0"/>
                  <w:divBdr>
                    <w:top w:val="none" w:sz="0" w:space="0" w:color="auto"/>
                    <w:left w:val="none" w:sz="0" w:space="0" w:color="auto"/>
                    <w:bottom w:val="none" w:sz="0" w:space="0" w:color="auto"/>
                    <w:right w:val="none" w:sz="0" w:space="0" w:color="auto"/>
                  </w:divBdr>
                  <w:divsChild>
                    <w:div w:id="484590598">
                      <w:marLeft w:val="0"/>
                      <w:marRight w:val="0"/>
                      <w:marTop w:val="0"/>
                      <w:marBottom w:val="0"/>
                      <w:divBdr>
                        <w:top w:val="none" w:sz="0" w:space="0" w:color="auto"/>
                        <w:left w:val="none" w:sz="0" w:space="0" w:color="auto"/>
                        <w:bottom w:val="none" w:sz="0" w:space="0" w:color="auto"/>
                        <w:right w:val="none" w:sz="0" w:space="0" w:color="auto"/>
                      </w:divBdr>
                    </w:div>
                  </w:divsChild>
                </w:div>
                <w:div w:id="930770760">
                  <w:marLeft w:val="0"/>
                  <w:marRight w:val="0"/>
                  <w:marTop w:val="0"/>
                  <w:marBottom w:val="0"/>
                  <w:divBdr>
                    <w:top w:val="none" w:sz="0" w:space="0" w:color="auto"/>
                    <w:left w:val="none" w:sz="0" w:space="0" w:color="auto"/>
                    <w:bottom w:val="none" w:sz="0" w:space="0" w:color="auto"/>
                    <w:right w:val="none" w:sz="0" w:space="0" w:color="auto"/>
                  </w:divBdr>
                  <w:divsChild>
                    <w:div w:id="1837569921">
                      <w:marLeft w:val="0"/>
                      <w:marRight w:val="0"/>
                      <w:marTop w:val="0"/>
                      <w:marBottom w:val="0"/>
                      <w:divBdr>
                        <w:top w:val="none" w:sz="0" w:space="0" w:color="auto"/>
                        <w:left w:val="none" w:sz="0" w:space="0" w:color="auto"/>
                        <w:bottom w:val="none" w:sz="0" w:space="0" w:color="auto"/>
                        <w:right w:val="none" w:sz="0" w:space="0" w:color="auto"/>
                      </w:divBdr>
                    </w:div>
                  </w:divsChild>
                </w:div>
                <w:div w:id="955984977">
                  <w:marLeft w:val="0"/>
                  <w:marRight w:val="0"/>
                  <w:marTop w:val="0"/>
                  <w:marBottom w:val="0"/>
                  <w:divBdr>
                    <w:top w:val="none" w:sz="0" w:space="0" w:color="auto"/>
                    <w:left w:val="none" w:sz="0" w:space="0" w:color="auto"/>
                    <w:bottom w:val="none" w:sz="0" w:space="0" w:color="auto"/>
                    <w:right w:val="none" w:sz="0" w:space="0" w:color="auto"/>
                  </w:divBdr>
                  <w:divsChild>
                    <w:div w:id="673534346">
                      <w:marLeft w:val="0"/>
                      <w:marRight w:val="0"/>
                      <w:marTop w:val="0"/>
                      <w:marBottom w:val="0"/>
                      <w:divBdr>
                        <w:top w:val="none" w:sz="0" w:space="0" w:color="auto"/>
                        <w:left w:val="none" w:sz="0" w:space="0" w:color="auto"/>
                        <w:bottom w:val="none" w:sz="0" w:space="0" w:color="auto"/>
                        <w:right w:val="none" w:sz="0" w:space="0" w:color="auto"/>
                      </w:divBdr>
                    </w:div>
                  </w:divsChild>
                </w:div>
                <w:div w:id="965742071">
                  <w:marLeft w:val="0"/>
                  <w:marRight w:val="0"/>
                  <w:marTop w:val="0"/>
                  <w:marBottom w:val="0"/>
                  <w:divBdr>
                    <w:top w:val="none" w:sz="0" w:space="0" w:color="auto"/>
                    <w:left w:val="none" w:sz="0" w:space="0" w:color="auto"/>
                    <w:bottom w:val="none" w:sz="0" w:space="0" w:color="auto"/>
                    <w:right w:val="none" w:sz="0" w:space="0" w:color="auto"/>
                  </w:divBdr>
                  <w:divsChild>
                    <w:div w:id="627664267">
                      <w:marLeft w:val="0"/>
                      <w:marRight w:val="0"/>
                      <w:marTop w:val="0"/>
                      <w:marBottom w:val="0"/>
                      <w:divBdr>
                        <w:top w:val="none" w:sz="0" w:space="0" w:color="auto"/>
                        <w:left w:val="none" w:sz="0" w:space="0" w:color="auto"/>
                        <w:bottom w:val="none" w:sz="0" w:space="0" w:color="auto"/>
                        <w:right w:val="none" w:sz="0" w:space="0" w:color="auto"/>
                      </w:divBdr>
                    </w:div>
                  </w:divsChild>
                </w:div>
                <w:div w:id="967318288">
                  <w:marLeft w:val="0"/>
                  <w:marRight w:val="0"/>
                  <w:marTop w:val="0"/>
                  <w:marBottom w:val="0"/>
                  <w:divBdr>
                    <w:top w:val="none" w:sz="0" w:space="0" w:color="auto"/>
                    <w:left w:val="none" w:sz="0" w:space="0" w:color="auto"/>
                    <w:bottom w:val="none" w:sz="0" w:space="0" w:color="auto"/>
                    <w:right w:val="none" w:sz="0" w:space="0" w:color="auto"/>
                  </w:divBdr>
                  <w:divsChild>
                    <w:div w:id="2100522777">
                      <w:marLeft w:val="0"/>
                      <w:marRight w:val="0"/>
                      <w:marTop w:val="0"/>
                      <w:marBottom w:val="0"/>
                      <w:divBdr>
                        <w:top w:val="none" w:sz="0" w:space="0" w:color="auto"/>
                        <w:left w:val="none" w:sz="0" w:space="0" w:color="auto"/>
                        <w:bottom w:val="none" w:sz="0" w:space="0" w:color="auto"/>
                        <w:right w:val="none" w:sz="0" w:space="0" w:color="auto"/>
                      </w:divBdr>
                    </w:div>
                  </w:divsChild>
                </w:div>
                <w:div w:id="980617923">
                  <w:marLeft w:val="0"/>
                  <w:marRight w:val="0"/>
                  <w:marTop w:val="0"/>
                  <w:marBottom w:val="0"/>
                  <w:divBdr>
                    <w:top w:val="none" w:sz="0" w:space="0" w:color="auto"/>
                    <w:left w:val="none" w:sz="0" w:space="0" w:color="auto"/>
                    <w:bottom w:val="none" w:sz="0" w:space="0" w:color="auto"/>
                    <w:right w:val="none" w:sz="0" w:space="0" w:color="auto"/>
                  </w:divBdr>
                  <w:divsChild>
                    <w:div w:id="1339305805">
                      <w:marLeft w:val="0"/>
                      <w:marRight w:val="0"/>
                      <w:marTop w:val="0"/>
                      <w:marBottom w:val="0"/>
                      <w:divBdr>
                        <w:top w:val="none" w:sz="0" w:space="0" w:color="auto"/>
                        <w:left w:val="none" w:sz="0" w:space="0" w:color="auto"/>
                        <w:bottom w:val="none" w:sz="0" w:space="0" w:color="auto"/>
                        <w:right w:val="none" w:sz="0" w:space="0" w:color="auto"/>
                      </w:divBdr>
                    </w:div>
                  </w:divsChild>
                </w:div>
                <w:div w:id="1002390848">
                  <w:marLeft w:val="0"/>
                  <w:marRight w:val="0"/>
                  <w:marTop w:val="0"/>
                  <w:marBottom w:val="0"/>
                  <w:divBdr>
                    <w:top w:val="none" w:sz="0" w:space="0" w:color="auto"/>
                    <w:left w:val="none" w:sz="0" w:space="0" w:color="auto"/>
                    <w:bottom w:val="none" w:sz="0" w:space="0" w:color="auto"/>
                    <w:right w:val="none" w:sz="0" w:space="0" w:color="auto"/>
                  </w:divBdr>
                  <w:divsChild>
                    <w:div w:id="492186742">
                      <w:marLeft w:val="0"/>
                      <w:marRight w:val="0"/>
                      <w:marTop w:val="0"/>
                      <w:marBottom w:val="0"/>
                      <w:divBdr>
                        <w:top w:val="none" w:sz="0" w:space="0" w:color="auto"/>
                        <w:left w:val="none" w:sz="0" w:space="0" w:color="auto"/>
                        <w:bottom w:val="none" w:sz="0" w:space="0" w:color="auto"/>
                        <w:right w:val="none" w:sz="0" w:space="0" w:color="auto"/>
                      </w:divBdr>
                    </w:div>
                  </w:divsChild>
                </w:div>
                <w:div w:id="1018046895">
                  <w:marLeft w:val="0"/>
                  <w:marRight w:val="0"/>
                  <w:marTop w:val="0"/>
                  <w:marBottom w:val="0"/>
                  <w:divBdr>
                    <w:top w:val="none" w:sz="0" w:space="0" w:color="auto"/>
                    <w:left w:val="none" w:sz="0" w:space="0" w:color="auto"/>
                    <w:bottom w:val="none" w:sz="0" w:space="0" w:color="auto"/>
                    <w:right w:val="none" w:sz="0" w:space="0" w:color="auto"/>
                  </w:divBdr>
                  <w:divsChild>
                    <w:div w:id="404110989">
                      <w:marLeft w:val="0"/>
                      <w:marRight w:val="0"/>
                      <w:marTop w:val="0"/>
                      <w:marBottom w:val="0"/>
                      <w:divBdr>
                        <w:top w:val="none" w:sz="0" w:space="0" w:color="auto"/>
                        <w:left w:val="none" w:sz="0" w:space="0" w:color="auto"/>
                        <w:bottom w:val="none" w:sz="0" w:space="0" w:color="auto"/>
                        <w:right w:val="none" w:sz="0" w:space="0" w:color="auto"/>
                      </w:divBdr>
                    </w:div>
                  </w:divsChild>
                </w:div>
                <w:div w:id="1021978733">
                  <w:marLeft w:val="0"/>
                  <w:marRight w:val="0"/>
                  <w:marTop w:val="0"/>
                  <w:marBottom w:val="0"/>
                  <w:divBdr>
                    <w:top w:val="none" w:sz="0" w:space="0" w:color="auto"/>
                    <w:left w:val="none" w:sz="0" w:space="0" w:color="auto"/>
                    <w:bottom w:val="none" w:sz="0" w:space="0" w:color="auto"/>
                    <w:right w:val="none" w:sz="0" w:space="0" w:color="auto"/>
                  </w:divBdr>
                  <w:divsChild>
                    <w:div w:id="1350984415">
                      <w:marLeft w:val="0"/>
                      <w:marRight w:val="0"/>
                      <w:marTop w:val="0"/>
                      <w:marBottom w:val="0"/>
                      <w:divBdr>
                        <w:top w:val="none" w:sz="0" w:space="0" w:color="auto"/>
                        <w:left w:val="none" w:sz="0" w:space="0" w:color="auto"/>
                        <w:bottom w:val="none" w:sz="0" w:space="0" w:color="auto"/>
                        <w:right w:val="none" w:sz="0" w:space="0" w:color="auto"/>
                      </w:divBdr>
                    </w:div>
                  </w:divsChild>
                </w:div>
                <w:div w:id="1039471852">
                  <w:marLeft w:val="0"/>
                  <w:marRight w:val="0"/>
                  <w:marTop w:val="0"/>
                  <w:marBottom w:val="0"/>
                  <w:divBdr>
                    <w:top w:val="none" w:sz="0" w:space="0" w:color="auto"/>
                    <w:left w:val="none" w:sz="0" w:space="0" w:color="auto"/>
                    <w:bottom w:val="none" w:sz="0" w:space="0" w:color="auto"/>
                    <w:right w:val="none" w:sz="0" w:space="0" w:color="auto"/>
                  </w:divBdr>
                  <w:divsChild>
                    <w:div w:id="314146616">
                      <w:marLeft w:val="0"/>
                      <w:marRight w:val="0"/>
                      <w:marTop w:val="0"/>
                      <w:marBottom w:val="0"/>
                      <w:divBdr>
                        <w:top w:val="none" w:sz="0" w:space="0" w:color="auto"/>
                        <w:left w:val="none" w:sz="0" w:space="0" w:color="auto"/>
                        <w:bottom w:val="none" w:sz="0" w:space="0" w:color="auto"/>
                        <w:right w:val="none" w:sz="0" w:space="0" w:color="auto"/>
                      </w:divBdr>
                    </w:div>
                  </w:divsChild>
                </w:div>
                <w:div w:id="1055620506">
                  <w:marLeft w:val="0"/>
                  <w:marRight w:val="0"/>
                  <w:marTop w:val="0"/>
                  <w:marBottom w:val="0"/>
                  <w:divBdr>
                    <w:top w:val="none" w:sz="0" w:space="0" w:color="auto"/>
                    <w:left w:val="none" w:sz="0" w:space="0" w:color="auto"/>
                    <w:bottom w:val="none" w:sz="0" w:space="0" w:color="auto"/>
                    <w:right w:val="none" w:sz="0" w:space="0" w:color="auto"/>
                  </w:divBdr>
                  <w:divsChild>
                    <w:div w:id="1437283830">
                      <w:marLeft w:val="0"/>
                      <w:marRight w:val="0"/>
                      <w:marTop w:val="0"/>
                      <w:marBottom w:val="0"/>
                      <w:divBdr>
                        <w:top w:val="none" w:sz="0" w:space="0" w:color="auto"/>
                        <w:left w:val="none" w:sz="0" w:space="0" w:color="auto"/>
                        <w:bottom w:val="none" w:sz="0" w:space="0" w:color="auto"/>
                        <w:right w:val="none" w:sz="0" w:space="0" w:color="auto"/>
                      </w:divBdr>
                    </w:div>
                  </w:divsChild>
                </w:div>
                <w:div w:id="1058437725">
                  <w:marLeft w:val="0"/>
                  <w:marRight w:val="0"/>
                  <w:marTop w:val="0"/>
                  <w:marBottom w:val="0"/>
                  <w:divBdr>
                    <w:top w:val="none" w:sz="0" w:space="0" w:color="auto"/>
                    <w:left w:val="none" w:sz="0" w:space="0" w:color="auto"/>
                    <w:bottom w:val="none" w:sz="0" w:space="0" w:color="auto"/>
                    <w:right w:val="none" w:sz="0" w:space="0" w:color="auto"/>
                  </w:divBdr>
                  <w:divsChild>
                    <w:div w:id="1897931056">
                      <w:marLeft w:val="0"/>
                      <w:marRight w:val="0"/>
                      <w:marTop w:val="0"/>
                      <w:marBottom w:val="0"/>
                      <w:divBdr>
                        <w:top w:val="none" w:sz="0" w:space="0" w:color="auto"/>
                        <w:left w:val="none" w:sz="0" w:space="0" w:color="auto"/>
                        <w:bottom w:val="none" w:sz="0" w:space="0" w:color="auto"/>
                        <w:right w:val="none" w:sz="0" w:space="0" w:color="auto"/>
                      </w:divBdr>
                    </w:div>
                  </w:divsChild>
                </w:div>
                <w:div w:id="1065563264">
                  <w:marLeft w:val="0"/>
                  <w:marRight w:val="0"/>
                  <w:marTop w:val="0"/>
                  <w:marBottom w:val="0"/>
                  <w:divBdr>
                    <w:top w:val="none" w:sz="0" w:space="0" w:color="auto"/>
                    <w:left w:val="none" w:sz="0" w:space="0" w:color="auto"/>
                    <w:bottom w:val="none" w:sz="0" w:space="0" w:color="auto"/>
                    <w:right w:val="none" w:sz="0" w:space="0" w:color="auto"/>
                  </w:divBdr>
                  <w:divsChild>
                    <w:div w:id="881674563">
                      <w:marLeft w:val="0"/>
                      <w:marRight w:val="0"/>
                      <w:marTop w:val="0"/>
                      <w:marBottom w:val="0"/>
                      <w:divBdr>
                        <w:top w:val="none" w:sz="0" w:space="0" w:color="auto"/>
                        <w:left w:val="none" w:sz="0" w:space="0" w:color="auto"/>
                        <w:bottom w:val="none" w:sz="0" w:space="0" w:color="auto"/>
                        <w:right w:val="none" w:sz="0" w:space="0" w:color="auto"/>
                      </w:divBdr>
                    </w:div>
                  </w:divsChild>
                </w:div>
                <w:div w:id="1074161701">
                  <w:marLeft w:val="0"/>
                  <w:marRight w:val="0"/>
                  <w:marTop w:val="0"/>
                  <w:marBottom w:val="0"/>
                  <w:divBdr>
                    <w:top w:val="none" w:sz="0" w:space="0" w:color="auto"/>
                    <w:left w:val="none" w:sz="0" w:space="0" w:color="auto"/>
                    <w:bottom w:val="none" w:sz="0" w:space="0" w:color="auto"/>
                    <w:right w:val="none" w:sz="0" w:space="0" w:color="auto"/>
                  </w:divBdr>
                  <w:divsChild>
                    <w:div w:id="751589020">
                      <w:marLeft w:val="0"/>
                      <w:marRight w:val="0"/>
                      <w:marTop w:val="0"/>
                      <w:marBottom w:val="0"/>
                      <w:divBdr>
                        <w:top w:val="none" w:sz="0" w:space="0" w:color="auto"/>
                        <w:left w:val="none" w:sz="0" w:space="0" w:color="auto"/>
                        <w:bottom w:val="none" w:sz="0" w:space="0" w:color="auto"/>
                        <w:right w:val="none" w:sz="0" w:space="0" w:color="auto"/>
                      </w:divBdr>
                    </w:div>
                  </w:divsChild>
                </w:div>
                <w:div w:id="1097797265">
                  <w:marLeft w:val="0"/>
                  <w:marRight w:val="0"/>
                  <w:marTop w:val="0"/>
                  <w:marBottom w:val="0"/>
                  <w:divBdr>
                    <w:top w:val="none" w:sz="0" w:space="0" w:color="auto"/>
                    <w:left w:val="none" w:sz="0" w:space="0" w:color="auto"/>
                    <w:bottom w:val="none" w:sz="0" w:space="0" w:color="auto"/>
                    <w:right w:val="none" w:sz="0" w:space="0" w:color="auto"/>
                  </w:divBdr>
                  <w:divsChild>
                    <w:div w:id="188028147">
                      <w:marLeft w:val="0"/>
                      <w:marRight w:val="0"/>
                      <w:marTop w:val="0"/>
                      <w:marBottom w:val="0"/>
                      <w:divBdr>
                        <w:top w:val="none" w:sz="0" w:space="0" w:color="auto"/>
                        <w:left w:val="none" w:sz="0" w:space="0" w:color="auto"/>
                        <w:bottom w:val="none" w:sz="0" w:space="0" w:color="auto"/>
                        <w:right w:val="none" w:sz="0" w:space="0" w:color="auto"/>
                      </w:divBdr>
                    </w:div>
                  </w:divsChild>
                </w:div>
                <w:div w:id="1121145142">
                  <w:marLeft w:val="0"/>
                  <w:marRight w:val="0"/>
                  <w:marTop w:val="0"/>
                  <w:marBottom w:val="0"/>
                  <w:divBdr>
                    <w:top w:val="none" w:sz="0" w:space="0" w:color="auto"/>
                    <w:left w:val="none" w:sz="0" w:space="0" w:color="auto"/>
                    <w:bottom w:val="none" w:sz="0" w:space="0" w:color="auto"/>
                    <w:right w:val="none" w:sz="0" w:space="0" w:color="auto"/>
                  </w:divBdr>
                  <w:divsChild>
                    <w:div w:id="1806893428">
                      <w:marLeft w:val="0"/>
                      <w:marRight w:val="0"/>
                      <w:marTop w:val="0"/>
                      <w:marBottom w:val="0"/>
                      <w:divBdr>
                        <w:top w:val="none" w:sz="0" w:space="0" w:color="auto"/>
                        <w:left w:val="none" w:sz="0" w:space="0" w:color="auto"/>
                        <w:bottom w:val="none" w:sz="0" w:space="0" w:color="auto"/>
                        <w:right w:val="none" w:sz="0" w:space="0" w:color="auto"/>
                      </w:divBdr>
                    </w:div>
                  </w:divsChild>
                </w:div>
                <w:div w:id="1125149769">
                  <w:marLeft w:val="0"/>
                  <w:marRight w:val="0"/>
                  <w:marTop w:val="0"/>
                  <w:marBottom w:val="0"/>
                  <w:divBdr>
                    <w:top w:val="none" w:sz="0" w:space="0" w:color="auto"/>
                    <w:left w:val="none" w:sz="0" w:space="0" w:color="auto"/>
                    <w:bottom w:val="none" w:sz="0" w:space="0" w:color="auto"/>
                    <w:right w:val="none" w:sz="0" w:space="0" w:color="auto"/>
                  </w:divBdr>
                  <w:divsChild>
                    <w:div w:id="1529299347">
                      <w:marLeft w:val="0"/>
                      <w:marRight w:val="0"/>
                      <w:marTop w:val="0"/>
                      <w:marBottom w:val="0"/>
                      <w:divBdr>
                        <w:top w:val="none" w:sz="0" w:space="0" w:color="auto"/>
                        <w:left w:val="none" w:sz="0" w:space="0" w:color="auto"/>
                        <w:bottom w:val="none" w:sz="0" w:space="0" w:color="auto"/>
                        <w:right w:val="none" w:sz="0" w:space="0" w:color="auto"/>
                      </w:divBdr>
                    </w:div>
                  </w:divsChild>
                </w:div>
                <w:div w:id="1128472908">
                  <w:marLeft w:val="0"/>
                  <w:marRight w:val="0"/>
                  <w:marTop w:val="0"/>
                  <w:marBottom w:val="0"/>
                  <w:divBdr>
                    <w:top w:val="none" w:sz="0" w:space="0" w:color="auto"/>
                    <w:left w:val="none" w:sz="0" w:space="0" w:color="auto"/>
                    <w:bottom w:val="none" w:sz="0" w:space="0" w:color="auto"/>
                    <w:right w:val="none" w:sz="0" w:space="0" w:color="auto"/>
                  </w:divBdr>
                  <w:divsChild>
                    <w:div w:id="470488090">
                      <w:marLeft w:val="0"/>
                      <w:marRight w:val="0"/>
                      <w:marTop w:val="0"/>
                      <w:marBottom w:val="0"/>
                      <w:divBdr>
                        <w:top w:val="none" w:sz="0" w:space="0" w:color="auto"/>
                        <w:left w:val="none" w:sz="0" w:space="0" w:color="auto"/>
                        <w:bottom w:val="none" w:sz="0" w:space="0" w:color="auto"/>
                        <w:right w:val="none" w:sz="0" w:space="0" w:color="auto"/>
                      </w:divBdr>
                    </w:div>
                  </w:divsChild>
                </w:div>
                <w:div w:id="1149905011">
                  <w:marLeft w:val="0"/>
                  <w:marRight w:val="0"/>
                  <w:marTop w:val="0"/>
                  <w:marBottom w:val="0"/>
                  <w:divBdr>
                    <w:top w:val="none" w:sz="0" w:space="0" w:color="auto"/>
                    <w:left w:val="none" w:sz="0" w:space="0" w:color="auto"/>
                    <w:bottom w:val="none" w:sz="0" w:space="0" w:color="auto"/>
                    <w:right w:val="none" w:sz="0" w:space="0" w:color="auto"/>
                  </w:divBdr>
                  <w:divsChild>
                    <w:div w:id="1149059452">
                      <w:marLeft w:val="0"/>
                      <w:marRight w:val="0"/>
                      <w:marTop w:val="0"/>
                      <w:marBottom w:val="0"/>
                      <w:divBdr>
                        <w:top w:val="none" w:sz="0" w:space="0" w:color="auto"/>
                        <w:left w:val="none" w:sz="0" w:space="0" w:color="auto"/>
                        <w:bottom w:val="none" w:sz="0" w:space="0" w:color="auto"/>
                        <w:right w:val="none" w:sz="0" w:space="0" w:color="auto"/>
                      </w:divBdr>
                    </w:div>
                  </w:divsChild>
                </w:div>
                <w:div w:id="1155728650">
                  <w:marLeft w:val="0"/>
                  <w:marRight w:val="0"/>
                  <w:marTop w:val="0"/>
                  <w:marBottom w:val="0"/>
                  <w:divBdr>
                    <w:top w:val="none" w:sz="0" w:space="0" w:color="auto"/>
                    <w:left w:val="none" w:sz="0" w:space="0" w:color="auto"/>
                    <w:bottom w:val="none" w:sz="0" w:space="0" w:color="auto"/>
                    <w:right w:val="none" w:sz="0" w:space="0" w:color="auto"/>
                  </w:divBdr>
                  <w:divsChild>
                    <w:div w:id="185599288">
                      <w:marLeft w:val="0"/>
                      <w:marRight w:val="0"/>
                      <w:marTop w:val="0"/>
                      <w:marBottom w:val="0"/>
                      <w:divBdr>
                        <w:top w:val="none" w:sz="0" w:space="0" w:color="auto"/>
                        <w:left w:val="none" w:sz="0" w:space="0" w:color="auto"/>
                        <w:bottom w:val="none" w:sz="0" w:space="0" w:color="auto"/>
                        <w:right w:val="none" w:sz="0" w:space="0" w:color="auto"/>
                      </w:divBdr>
                    </w:div>
                  </w:divsChild>
                </w:div>
                <w:div w:id="1159463812">
                  <w:marLeft w:val="0"/>
                  <w:marRight w:val="0"/>
                  <w:marTop w:val="0"/>
                  <w:marBottom w:val="0"/>
                  <w:divBdr>
                    <w:top w:val="none" w:sz="0" w:space="0" w:color="auto"/>
                    <w:left w:val="none" w:sz="0" w:space="0" w:color="auto"/>
                    <w:bottom w:val="none" w:sz="0" w:space="0" w:color="auto"/>
                    <w:right w:val="none" w:sz="0" w:space="0" w:color="auto"/>
                  </w:divBdr>
                  <w:divsChild>
                    <w:div w:id="1980571178">
                      <w:marLeft w:val="0"/>
                      <w:marRight w:val="0"/>
                      <w:marTop w:val="0"/>
                      <w:marBottom w:val="0"/>
                      <w:divBdr>
                        <w:top w:val="none" w:sz="0" w:space="0" w:color="auto"/>
                        <w:left w:val="none" w:sz="0" w:space="0" w:color="auto"/>
                        <w:bottom w:val="none" w:sz="0" w:space="0" w:color="auto"/>
                        <w:right w:val="none" w:sz="0" w:space="0" w:color="auto"/>
                      </w:divBdr>
                    </w:div>
                  </w:divsChild>
                </w:div>
                <w:div w:id="1162620929">
                  <w:marLeft w:val="0"/>
                  <w:marRight w:val="0"/>
                  <w:marTop w:val="0"/>
                  <w:marBottom w:val="0"/>
                  <w:divBdr>
                    <w:top w:val="none" w:sz="0" w:space="0" w:color="auto"/>
                    <w:left w:val="none" w:sz="0" w:space="0" w:color="auto"/>
                    <w:bottom w:val="none" w:sz="0" w:space="0" w:color="auto"/>
                    <w:right w:val="none" w:sz="0" w:space="0" w:color="auto"/>
                  </w:divBdr>
                  <w:divsChild>
                    <w:div w:id="1859659754">
                      <w:marLeft w:val="0"/>
                      <w:marRight w:val="0"/>
                      <w:marTop w:val="0"/>
                      <w:marBottom w:val="0"/>
                      <w:divBdr>
                        <w:top w:val="none" w:sz="0" w:space="0" w:color="auto"/>
                        <w:left w:val="none" w:sz="0" w:space="0" w:color="auto"/>
                        <w:bottom w:val="none" w:sz="0" w:space="0" w:color="auto"/>
                        <w:right w:val="none" w:sz="0" w:space="0" w:color="auto"/>
                      </w:divBdr>
                    </w:div>
                  </w:divsChild>
                </w:div>
                <w:div w:id="1165896258">
                  <w:marLeft w:val="0"/>
                  <w:marRight w:val="0"/>
                  <w:marTop w:val="0"/>
                  <w:marBottom w:val="0"/>
                  <w:divBdr>
                    <w:top w:val="none" w:sz="0" w:space="0" w:color="auto"/>
                    <w:left w:val="none" w:sz="0" w:space="0" w:color="auto"/>
                    <w:bottom w:val="none" w:sz="0" w:space="0" w:color="auto"/>
                    <w:right w:val="none" w:sz="0" w:space="0" w:color="auto"/>
                  </w:divBdr>
                  <w:divsChild>
                    <w:div w:id="1648364797">
                      <w:marLeft w:val="0"/>
                      <w:marRight w:val="0"/>
                      <w:marTop w:val="0"/>
                      <w:marBottom w:val="0"/>
                      <w:divBdr>
                        <w:top w:val="none" w:sz="0" w:space="0" w:color="auto"/>
                        <w:left w:val="none" w:sz="0" w:space="0" w:color="auto"/>
                        <w:bottom w:val="none" w:sz="0" w:space="0" w:color="auto"/>
                        <w:right w:val="none" w:sz="0" w:space="0" w:color="auto"/>
                      </w:divBdr>
                    </w:div>
                  </w:divsChild>
                </w:div>
                <w:div w:id="1191336575">
                  <w:marLeft w:val="0"/>
                  <w:marRight w:val="0"/>
                  <w:marTop w:val="0"/>
                  <w:marBottom w:val="0"/>
                  <w:divBdr>
                    <w:top w:val="none" w:sz="0" w:space="0" w:color="auto"/>
                    <w:left w:val="none" w:sz="0" w:space="0" w:color="auto"/>
                    <w:bottom w:val="none" w:sz="0" w:space="0" w:color="auto"/>
                    <w:right w:val="none" w:sz="0" w:space="0" w:color="auto"/>
                  </w:divBdr>
                  <w:divsChild>
                    <w:div w:id="1522084999">
                      <w:marLeft w:val="0"/>
                      <w:marRight w:val="0"/>
                      <w:marTop w:val="0"/>
                      <w:marBottom w:val="0"/>
                      <w:divBdr>
                        <w:top w:val="none" w:sz="0" w:space="0" w:color="auto"/>
                        <w:left w:val="none" w:sz="0" w:space="0" w:color="auto"/>
                        <w:bottom w:val="none" w:sz="0" w:space="0" w:color="auto"/>
                        <w:right w:val="none" w:sz="0" w:space="0" w:color="auto"/>
                      </w:divBdr>
                    </w:div>
                  </w:divsChild>
                </w:div>
                <w:div w:id="1198620283">
                  <w:marLeft w:val="0"/>
                  <w:marRight w:val="0"/>
                  <w:marTop w:val="0"/>
                  <w:marBottom w:val="0"/>
                  <w:divBdr>
                    <w:top w:val="none" w:sz="0" w:space="0" w:color="auto"/>
                    <w:left w:val="none" w:sz="0" w:space="0" w:color="auto"/>
                    <w:bottom w:val="none" w:sz="0" w:space="0" w:color="auto"/>
                    <w:right w:val="none" w:sz="0" w:space="0" w:color="auto"/>
                  </w:divBdr>
                  <w:divsChild>
                    <w:div w:id="199362409">
                      <w:marLeft w:val="0"/>
                      <w:marRight w:val="0"/>
                      <w:marTop w:val="0"/>
                      <w:marBottom w:val="0"/>
                      <w:divBdr>
                        <w:top w:val="none" w:sz="0" w:space="0" w:color="auto"/>
                        <w:left w:val="none" w:sz="0" w:space="0" w:color="auto"/>
                        <w:bottom w:val="none" w:sz="0" w:space="0" w:color="auto"/>
                        <w:right w:val="none" w:sz="0" w:space="0" w:color="auto"/>
                      </w:divBdr>
                    </w:div>
                  </w:divsChild>
                </w:div>
                <w:div w:id="1267273137">
                  <w:marLeft w:val="0"/>
                  <w:marRight w:val="0"/>
                  <w:marTop w:val="0"/>
                  <w:marBottom w:val="0"/>
                  <w:divBdr>
                    <w:top w:val="none" w:sz="0" w:space="0" w:color="auto"/>
                    <w:left w:val="none" w:sz="0" w:space="0" w:color="auto"/>
                    <w:bottom w:val="none" w:sz="0" w:space="0" w:color="auto"/>
                    <w:right w:val="none" w:sz="0" w:space="0" w:color="auto"/>
                  </w:divBdr>
                  <w:divsChild>
                    <w:div w:id="479537931">
                      <w:marLeft w:val="0"/>
                      <w:marRight w:val="0"/>
                      <w:marTop w:val="0"/>
                      <w:marBottom w:val="0"/>
                      <w:divBdr>
                        <w:top w:val="none" w:sz="0" w:space="0" w:color="auto"/>
                        <w:left w:val="none" w:sz="0" w:space="0" w:color="auto"/>
                        <w:bottom w:val="none" w:sz="0" w:space="0" w:color="auto"/>
                        <w:right w:val="none" w:sz="0" w:space="0" w:color="auto"/>
                      </w:divBdr>
                    </w:div>
                  </w:divsChild>
                </w:div>
                <w:div w:id="1267346243">
                  <w:marLeft w:val="0"/>
                  <w:marRight w:val="0"/>
                  <w:marTop w:val="0"/>
                  <w:marBottom w:val="0"/>
                  <w:divBdr>
                    <w:top w:val="none" w:sz="0" w:space="0" w:color="auto"/>
                    <w:left w:val="none" w:sz="0" w:space="0" w:color="auto"/>
                    <w:bottom w:val="none" w:sz="0" w:space="0" w:color="auto"/>
                    <w:right w:val="none" w:sz="0" w:space="0" w:color="auto"/>
                  </w:divBdr>
                  <w:divsChild>
                    <w:div w:id="1434518260">
                      <w:marLeft w:val="0"/>
                      <w:marRight w:val="0"/>
                      <w:marTop w:val="0"/>
                      <w:marBottom w:val="0"/>
                      <w:divBdr>
                        <w:top w:val="none" w:sz="0" w:space="0" w:color="auto"/>
                        <w:left w:val="none" w:sz="0" w:space="0" w:color="auto"/>
                        <w:bottom w:val="none" w:sz="0" w:space="0" w:color="auto"/>
                        <w:right w:val="none" w:sz="0" w:space="0" w:color="auto"/>
                      </w:divBdr>
                    </w:div>
                  </w:divsChild>
                </w:div>
                <w:div w:id="1287733900">
                  <w:marLeft w:val="0"/>
                  <w:marRight w:val="0"/>
                  <w:marTop w:val="0"/>
                  <w:marBottom w:val="0"/>
                  <w:divBdr>
                    <w:top w:val="none" w:sz="0" w:space="0" w:color="auto"/>
                    <w:left w:val="none" w:sz="0" w:space="0" w:color="auto"/>
                    <w:bottom w:val="none" w:sz="0" w:space="0" w:color="auto"/>
                    <w:right w:val="none" w:sz="0" w:space="0" w:color="auto"/>
                  </w:divBdr>
                  <w:divsChild>
                    <w:div w:id="1603108748">
                      <w:marLeft w:val="0"/>
                      <w:marRight w:val="0"/>
                      <w:marTop w:val="0"/>
                      <w:marBottom w:val="0"/>
                      <w:divBdr>
                        <w:top w:val="none" w:sz="0" w:space="0" w:color="auto"/>
                        <w:left w:val="none" w:sz="0" w:space="0" w:color="auto"/>
                        <w:bottom w:val="none" w:sz="0" w:space="0" w:color="auto"/>
                        <w:right w:val="none" w:sz="0" w:space="0" w:color="auto"/>
                      </w:divBdr>
                    </w:div>
                  </w:divsChild>
                </w:div>
                <w:div w:id="1289431131">
                  <w:marLeft w:val="0"/>
                  <w:marRight w:val="0"/>
                  <w:marTop w:val="0"/>
                  <w:marBottom w:val="0"/>
                  <w:divBdr>
                    <w:top w:val="none" w:sz="0" w:space="0" w:color="auto"/>
                    <w:left w:val="none" w:sz="0" w:space="0" w:color="auto"/>
                    <w:bottom w:val="none" w:sz="0" w:space="0" w:color="auto"/>
                    <w:right w:val="none" w:sz="0" w:space="0" w:color="auto"/>
                  </w:divBdr>
                  <w:divsChild>
                    <w:div w:id="2076581682">
                      <w:marLeft w:val="0"/>
                      <w:marRight w:val="0"/>
                      <w:marTop w:val="0"/>
                      <w:marBottom w:val="0"/>
                      <w:divBdr>
                        <w:top w:val="none" w:sz="0" w:space="0" w:color="auto"/>
                        <w:left w:val="none" w:sz="0" w:space="0" w:color="auto"/>
                        <w:bottom w:val="none" w:sz="0" w:space="0" w:color="auto"/>
                        <w:right w:val="none" w:sz="0" w:space="0" w:color="auto"/>
                      </w:divBdr>
                    </w:div>
                  </w:divsChild>
                </w:div>
                <w:div w:id="1301765101">
                  <w:marLeft w:val="0"/>
                  <w:marRight w:val="0"/>
                  <w:marTop w:val="0"/>
                  <w:marBottom w:val="0"/>
                  <w:divBdr>
                    <w:top w:val="none" w:sz="0" w:space="0" w:color="auto"/>
                    <w:left w:val="none" w:sz="0" w:space="0" w:color="auto"/>
                    <w:bottom w:val="none" w:sz="0" w:space="0" w:color="auto"/>
                    <w:right w:val="none" w:sz="0" w:space="0" w:color="auto"/>
                  </w:divBdr>
                  <w:divsChild>
                    <w:div w:id="203711003">
                      <w:marLeft w:val="0"/>
                      <w:marRight w:val="0"/>
                      <w:marTop w:val="0"/>
                      <w:marBottom w:val="0"/>
                      <w:divBdr>
                        <w:top w:val="none" w:sz="0" w:space="0" w:color="auto"/>
                        <w:left w:val="none" w:sz="0" w:space="0" w:color="auto"/>
                        <w:bottom w:val="none" w:sz="0" w:space="0" w:color="auto"/>
                        <w:right w:val="none" w:sz="0" w:space="0" w:color="auto"/>
                      </w:divBdr>
                    </w:div>
                  </w:divsChild>
                </w:div>
                <w:div w:id="1322343979">
                  <w:marLeft w:val="0"/>
                  <w:marRight w:val="0"/>
                  <w:marTop w:val="0"/>
                  <w:marBottom w:val="0"/>
                  <w:divBdr>
                    <w:top w:val="none" w:sz="0" w:space="0" w:color="auto"/>
                    <w:left w:val="none" w:sz="0" w:space="0" w:color="auto"/>
                    <w:bottom w:val="none" w:sz="0" w:space="0" w:color="auto"/>
                    <w:right w:val="none" w:sz="0" w:space="0" w:color="auto"/>
                  </w:divBdr>
                  <w:divsChild>
                    <w:div w:id="1960530665">
                      <w:marLeft w:val="0"/>
                      <w:marRight w:val="0"/>
                      <w:marTop w:val="0"/>
                      <w:marBottom w:val="0"/>
                      <w:divBdr>
                        <w:top w:val="none" w:sz="0" w:space="0" w:color="auto"/>
                        <w:left w:val="none" w:sz="0" w:space="0" w:color="auto"/>
                        <w:bottom w:val="none" w:sz="0" w:space="0" w:color="auto"/>
                        <w:right w:val="none" w:sz="0" w:space="0" w:color="auto"/>
                      </w:divBdr>
                    </w:div>
                  </w:divsChild>
                </w:div>
                <w:div w:id="1333296110">
                  <w:marLeft w:val="0"/>
                  <w:marRight w:val="0"/>
                  <w:marTop w:val="0"/>
                  <w:marBottom w:val="0"/>
                  <w:divBdr>
                    <w:top w:val="none" w:sz="0" w:space="0" w:color="auto"/>
                    <w:left w:val="none" w:sz="0" w:space="0" w:color="auto"/>
                    <w:bottom w:val="none" w:sz="0" w:space="0" w:color="auto"/>
                    <w:right w:val="none" w:sz="0" w:space="0" w:color="auto"/>
                  </w:divBdr>
                  <w:divsChild>
                    <w:div w:id="905720621">
                      <w:marLeft w:val="0"/>
                      <w:marRight w:val="0"/>
                      <w:marTop w:val="0"/>
                      <w:marBottom w:val="0"/>
                      <w:divBdr>
                        <w:top w:val="none" w:sz="0" w:space="0" w:color="auto"/>
                        <w:left w:val="none" w:sz="0" w:space="0" w:color="auto"/>
                        <w:bottom w:val="none" w:sz="0" w:space="0" w:color="auto"/>
                        <w:right w:val="none" w:sz="0" w:space="0" w:color="auto"/>
                      </w:divBdr>
                    </w:div>
                  </w:divsChild>
                </w:div>
                <w:div w:id="1336954218">
                  <w:marLeft w:val="0"/>
                  <w:marRight w:val="0"/>
                  <w:marTop w:val="0"/>
                  <w:marBottom w:val="0"/>
                  <w:divBdr>
                    <w:top w:val="none" w:sz="0" w:space="0" w:color="auto"/>
                    <w:left w:val="none" w:sz="0" w:space="0" w:color="auto"/>
                    <w:bottom w:val="none" w:sz="0" w:space="0" w:color="auto"/>
                    <w:right w:val="none" w:sz="0" w:space="0" w:color="auto"/>
                  </w:divBdr>
                  <w:divsChild>
                    <w:div w:id="911695991">
                      <w:marLeft w:val="0"/>
                      <w:marRight w:val="0"/>
                      <w:marTop w:val="0"/>
                      <w:marBottom w:val="0"/>
                      <w:divBdr>
                        <w:top w:val="none" w:sz="0" w:space="0" w:color="auto"/>
                        <w:left w:val="none" w:sz="0" w:space="0" w:color="auto"/>
                        <w:bottom w:val="none" w:sz="0" w:space="0" w:color="auto"/>
                        <w:right w:val="none" w:sz="0" w:space="0" w:color="auto"/>
                      </w:divBdr>
                    </w:div>
                  </w:divsChild>
                </w:div>
                <w:div w:id="1341396566">
                  <w:marLeft w:val="0"/>
                  <w:marRight w:val="0"/>
                  <w:marTop w:val="0"/>
                  <w:marBottom w:val="0"/>
                  <w:divBdr>
                    <w:top w:val="none" w:sz="0" w:space="0" w:color="auto"/>
                    <w:left w:val="none" w:sz="0" w:space="0" w:color="auto"/>
                    <w:bottom w:val="none" w:sz="0" w:space="0" w:color="auto"/>
                    <w:right w:val="none" w:sz="0" w:space="0" w:color="auto"/>
                  </w:divBdr>
                  <w:divsChild>
                    <w:div w:id="777023368">
                      <w:marLeft w:val="0"/>
                      <w:marRight w:val="0"/>
                      <w:marTop w:val="0"/>
                      <w:marBottom w:val="0"/>
                      <w:divBdr>
                        <w:top w:val="none" w:sz="0" w:space="0" w:color="auto"/>
                        <w:left w:val="none" w:sz="0" w:space="0" w:color="auto"/>
                        <w:bottom w:val="none" w:sz="0" w:space="0" w:color="auto"/>
                        <w:right w:val="none" w:sz="0" w:space="0" w:color="auto"/>
                      </w:divBdr>
                    </w:div>
                  </w:divsChild>
                </w:div>
                <w:div w:id="1344938390">
                  <w:marLeft w:val="0"/>
                  <w:marRight w:val="0"/>
                  <w:marTop w:val="0"/>
                  <w:marBottom w:val="0"/>
                  <w:divBdr>
                    <w:top w:val="none" w:sz="0" w:space="0" w:color="auto"/>
                    <w:left w:val="none" w:sz="0" w:space="0" w:color="auto"/>
                    <w:bottom w:val="none" w:sz="0" w:space="0" w:color="auto"/>
                    <w:right w:val="none" w:sz="0" w:space="0" w:color="auto"/>
                  </w:divBdr>
                  <w:divsChild>
                    <w:div w:id="1111975271">
                      <w:marLeft w:val="0"/>
                      <w:marRight w:val="0"/>
                      <w:marTop w:val="0"/>
                      <w:marBottom w:val="0"/>
                      <w:divBdr>
                        <w:top w:val="none" w:sz="0" w:space="0" w:color="auto"/>
                        <w:left w:val="none" w:sz="0" w:space="0" w:color="auto"/>
                        <w:bottom w:val="none" w:sz="0" w:space="0" w:color="auto"/>
                        <w:right w:val="none" w:sz="0" w:space="0" w:color="auto"/>
                      </w:divBdr>
                    </w:div>
                  </w:divsChild>
                </w:div>
                <w:div w:id="1346783287">
                  <w:marLeft w:val="0"/>
                  <w:marRight w:val="0"/>
                  <w:marTop w:val="0"/>
                  <w:marBottom w:val="0"/>
                  <w:divBdr>
                    <w:top w:val="none" w:sz="0" w:space="0" w:color="auto"/>
                    <w:left w:val="none" w:sz="0" w:space="0" w:color="auto"/>
                    <w:bottom w:val="none" w:sz="0" w:space="0" w:color="auto"/>
                    <w:right w:val="none" w:sz="0" w:space="0" w:color="auto"/>
                  </w:divBdr>
                  <w:divsChild>
                    <w:div w:id="1818064743">
                      <w:marLeft w:val="0"/>
                      <w:marRight w:val="0"/>
                      <w:marTop w:val="0"/>
                      <w:marBottom w:val="0"/>
                      <w:divBdr>
                        <w:top w:val="none" w:sz="0" w:space="0" w:color="auto"/>
                        <w:left w:val="none" w:sz="0" w:space="0" w:color="auto"/>
                        <w:bottom w:val="none" w:sz="0" w:space="0" w:color="auto"/>
                        <w:right w:val="none" w:sz="0" w:space="0" w:color="auto"/>
                      </w:divBdr>
                    </w:div>
                  </w:divsChild>
                </w:div>
                <w:div w:id="1359165260">
                  <w:marLeft w:val="0"/>
                  <w:marRight w:val="0"/>
                  <w:marTop w:val="0"/>
                  <w:marBottom w:val="0"/>
                  <w:divBdr>
                    <w:top w:val="none" w:sz="0" w:space="0" w:color="auto"/>
                    <w:left w:val="none" w:sz="0" w:space="0" w:color="auto"/>
                    <w:bottom w:val="none" w:sz="0" w:space="0" w:color="auto"/>
                    <w:right w:val="none" w:sz="0" w:space="0" w:color="auto"/>
                  </w:divBdr>
                  <w:divsChild>
                    <w:div w:id="1799763707">
                      <w:marLeft w:val="0"/>
                      <w:marRight w:val="0"/>
                      <w:marTop w:val="0"/>
                      <w:marBottom w:val="0"/>
                      <w:divBdr>
                        <w:top w:val="none" w:sz="0" w:space="0" w:color="auto"/>
                        <w:left w:val="none" w:sz="0" w:space="0" w:color="auto"/>
                        <w:bottom w:val="none" w:sz="0" w:space="0" w:color="auto"/>
                        <w:right w:val="none" w:sz="0" w:space="0" w:color="auto"/>
                      </w:divBdr>
                    </w:div>
                  </w:divsChild>
                </w:div>
                <w:div w:id="1369064662">
                  <w:marLeft w:val="0"/>
                  <w:marRight w:val="0"/>
                  <w:marTop w:val="0"/>
                  <w:marBottom w:val="0"/>
                  <w:divBdr>
                    <w:top w:val="none" w:sz="0" w:space="0" w:color="auto"/>
                    <w:left w:val="none" w:sz="0" w:space="0" w:color="auto"/>
                    <w:bottom w:val="none" w:sz="0" w:space="0" w:color="auto"/>
                    <w:right w:val="none" w:sz="0" w:space="0" w:color="auto"/>
                  </w:divBdr>
                  <w:divsChild>
                    <w:div w:id="246499168">
                      <w:marLeft w:val="0"/>
                      <w:marRight w:val="0"/>
                      <w:marTop w:val="0"/>
                      <w:marBottom w:val="0"/>
                      <w:divBdr>
                        <w:top w:val="none" w:sz="0" w:space="0" w:color="auto"/>
                        <w:left w:val="none" w:sz="0" w:space="0" w:color="auto"/>
                        <w:bottom w:val="none" w:sz="0" w:space="0" w:color="auto"/>
                        <w:right w:val="none" w:sz="0" w:space="0" w:color="auto"/>
                      </w:divBdr>
                    </w:div>
                  </w:divsChild>
                </w:div>
                <w:div w:id="1389650570">
                  <w:marLeft w:val="0"/>
                  <w:marRight w:val="0"/>
                  <w:marTop w:val="0"/>
                  <w:marBottom w:val="0"/>
                  <w:divBdr>
                    <w:top w:val="none" w:sz="0" w:space="0" w:color="auto"/>
                    <w:left w:val="none" w:sz="0" w:space="0" w:color="auto"/>
                    <w:bottom w:val="none" w:sz="0" w:space="0" w:color="auto"/>
                    <w:right w:val="none" w:sz="0" w:space="0" w:color="auto"/>
                  </w:divBdr>
                  <w:divsChild>
                    <w:div w:id="373117756">
                      <w:marLeft w:val="0"/>
                      <w:marRight w:val="0"/>
                      <w:marTop w:val="0"/>
                      <w:marBottom w:val="0"/>
                      <w:divBdr>
                        <w:top w:val="none" w:sz="0" w:space="0" w:color="auto"/>
                        <w:left w:val="none" w:sz="0" w:space="0" w:color="auto"/>
                        <w:bottom w:val="none" w:sz="0" w:space="0" w:color="auto"/>
                        <w:right w:val="none" w:sz="0" w:space="0" w:color="auto"/>
                      </w:divBdr>
                    </w:div>
                  </w:divsChild>
                </w:div>
                <w:div w:id="1414470468">
                  <w:marLeft w:val="0"/>
                  <w:marRight w:val="0"/>
                  <w:marTop w:val="0"/>
                  <w:marBottom w:val="0"/>
                  <w:divBdr>
                    <w:top w:val="none" w:sz="0" w:space="0" w:color="auto"/>
                    <w:left w:val="none" w:sz="0" w:space="0" w:color="auto"/>
                    <w:bottom w:val="none" w:sz="0" w:space="0" w:color="auto"/>
                    <w:right w:val="none" w:sz="0" w:space="0" w:color="auto"/>
                  </w:divBdr>
                  <w:divsChild>
                    <w:div w:id="1058817708">
                      <w:marLeft w:val="0"/>
                      <w:marRight w:val="0"/>
                      <w:marTop w:val="0"/>
                      <w:marBottom w:val="0"/>
                      <w:divBdr>
                        <w:top w:val="none" w:sz="0" w:space="0" w:color="auto"/>
                        <w:left w:val="none" w:sz="0" w:space="0" w:color="auto"/>
                        <w:bottom w:val="none" w:sz="0" w:space="0" w:color="auto"/>
                        <w:right w:val="none" w:sz="0" w:space="0" w:color="auto"/>
                      </w:divBdr>
                    </w:div>
                  </w:divsChild>
                </w:div>
                <w:div w:id="1421563060">
                  <w:marLeft w:val="0"/>
                  <w:marRight w:val="0"/>
                  <w:marTop w:val="0"/>
                  <w:marBottom w:val="0"/>
                  <w:divBdr>
                    <w:top w:val="none" w:sz="0" w:space="0" w:color="auto"/>
                    <w:left w:val="none" w:sz="0" w:space="0" w:color="auto"/>
                    <w:bottom w:val="none" w:sz="0" w:space="0" w:color="auto"/>
                    <w:right w:val="none" w:sz="0" w:space="0" w:color="auto"/>
                  </w:divBdr>
                  <w:divsChild>
                    <w:div w:id="338432817">
                      <w:marLeft w:val="0"/>
                      <w:marRight w:val="0"/>
                      <w:marTop w:val="0"/>
                      <w:marBottom w:val="0"/>
                      <w:divBdr>
                        <w:top w:val="none" w:sz="0" w:space="0" w:color="auto"/>
                        <w:left w:val="none" w:sz="0" w:space="0" w:color="auto"/>
                        <w:bottom w:val="none" w:sz="0" w:space="0" w:color="auto"/>
                        <w:right w:val="none" w:sz="0" w:space="0" w:color="auto"/>
                      </w:divBdr>
                    </w:div>
                  </w:divsChild>
                </w:div>
                <w:div w:id="1426150011">
                  <w:marLeft w:val="0"/>
                  <w:marRight w:val="0"/>
                  <w:marTop w:val="0"/>
                  <w:marBottom w:val="0"/>
                  <w:divBdr>
                    <w:top w:val="none" w:sz="0" w:space="0" w:color="auto"/>
                    <w:left w:val="none" w:sz="0" w:space="0" w:color="auto"/>
                    <w:bottom w:val="none" w:sz="0" w:space="0" w:color="auto"/>
                    <w:right w:val="none" w:sz="0" w:space="0" w:color="auto"/>
                  </w:divBdr>
                  <w:divsChild>
                    <w:div w:id="1992513758">
                      <w:marLeft w:val="0"/>
                      <w:marRight w:val="0"/>
                      <w:marTop w:val="0"/>
                      <w:marBottom w:val="0"/>
                      <w:divBdr>
                        <w:top w:val="none" w:sz="0" w:space="0" w:color="auto"/>
                        <w:left w:val="none" w:sz="0" w:space="0" w:color="auto"/>
                        <w:bottom w:val="none" w:sz="0" w:space="0" w:color="auto"/>
                        <w:right w:val="none" w:sz="0" w:space="0" w:color="auto"/>
                      </w:divBdr>
                    </w:div>
                  </w:divsChild>
                </w:div>
                <w:div w:id="1443181460">
                  <w:marLeft w:val="0"/>
                  <w:marRight w:val="0"/>
                  <w:marTop w:val="0"/>
                  <w:marBottom w:val="0"/>
                  <w:divBdr>
                    <w:top w:val="none" w:sz="0" w:space="0" w:color="auto"/>
                    <w:left w:val="none" w:sz="0" w:space="0" w:color="auto"/>
                    <w:bottom w:val="none" w:sz="0" w:space="0" w:color="auto"/>
                    <w:right w:val="none" w:sz="0" w:space="0" w:color="auto"/>
                  </w:divBdr>
                  <w:divsChild>
                    <w:div w:id="1715619921">
                      <w:marLeft w:val="0"/>
                      <w:marRight w:val="0"/>
                      <w:marTop w:val="0"/>
                      <w:marBottom w:val="0"/>
                      <w:divBdr>
                        <w:top w:val="none" w:sz="0" w:space="0" w:color="auto"/>
                        <w:left w:val="none" w:sz="0" w:space="0" w:color="auto"/>
                        <w:bottom w:val="none" w:sz="0" w:space="0" w:color="auto"/>
                        <w:right w:val="none" w:sz="0" w:space="0" w:color="auto"/>
                      </w:divBdr>
                    </w:div>
                  </w:divsChild>
                </w:div>
                <w:div w:id="1466242610">
                  <w:marLeft w:val="0"/>
                  <w:marRight w:val="0"/>
                  <w:marTop w:val="0"/>
                  <w:marBottom w:val="0"/>
                  <w:divBdr>
                    <w:top w:val="none" w:sz="0" w:space="0" w:color="auto"/>
                    <w:left w:val="none" w:sz="0" w:space="0" w:color="auto"/>
                    <w:bottom w:val="none" w:sz="0" w:space="0" w:color="auto"/>
                    <w:right w:val="none" w:sz="0" w:space="0" w:color="auto"/>
                  </w:divBdr>
                  <w:divsChild>
                    <w:div w:id="490952709">
                      <w:marLeft w:val="0"/>
                      <w:marRight w:val="0"/>
                      <w:marTop w:val="0"/>
                      <w:marBottom w:val="0"/>
                      <w:divBdr>
                        <w:top w:val="none" w:sz="0" w:space="0" w:color="auto"/>
                        <w:left w:val="none" w:sz="0" w:space="0" w:color="auto"/>
                        <w:bottom w:val="none" w:sz="0" w:space="0" w:color="auto"/>
                        <w:right w:val="none" w:sz="0" w:space="0" w:color="auto"/>
                      </w:divBdr>
                    </w:div>
                  </w:divsChild>
                </w:div>
                <w:div w:id="1499080914">
                  <w:marLeft w:val="0"/>
                  <w:marRight w:val="0"/>
                  <w:marTop w:val="0"/>
                  <w:marBottom w:val="0"/>
                  <w:divBdr>
                    <w:top w:val="none" w:sz="0" w:space="0" w:color="auto"/>
                    <w:left w:val="none" w:sz="0" w:space="0" w:color="auto"/>
                    <w:bottom w:val="none" w:sz="0" w:space="0" w:color="auto"/>
                    <w:right w:val="none" w:sz="0" w:space="0" w:color="auto"/>
                  </w:divBdr>
                  <w:divsChild>
                    <w:div w:id="338584011">
                      <w:marLeft w:val="0"/>
                      <w:marRight w:val="0"/>
                      <w:marTop w:val="0"/>
                      <w:marBottom w:val="0"/>
                      <w:divBdr>
                        <w:top w:val="none" w:sz="0" w:space="0" w:color="auto"/>
                        <w:left w:val="none" w:sz="0" w:space="0" w:color="auto"/>
                        <w:bottom w:val="none" w:sz="0" w:space="0" w:color="auto"/>
                        <w:right w:val="none" w:sz="0" w:space="0" w:color="auto"/>
                      </w:divBdr>
                    </w:div>
                  </w:divsChild>
                </w:div>
                <w:div w:id="1513959640">
                  <w:marLeft w:val="0"/>
                  <w:marRight w:val="0"/>
                  <w:marTop w:val="0"/>
                  <w:marBottom w:val="0"/>
                  <w:divBdr>
                    <w:top w:val="none" w:sz="0" w:space="0" w:color="auto"/>
                    <w:left w:val="none" w:sz="0" w:space="0" w:color="auto"/>
                    <w:bottom w:val="none" w:sz="0" w:space="0" w:color="auto"/>
                    <w:right w:val="none" w:sz="0" w:space="0" w:color="auto"/>
                  </w:divBdr>
                  <w:divsChild>
                    <w:div w:id="717052600">
                      <w:marLeft w:val="0"/>
                      <w:marRight w:val="0"/>
                      <w:marTop w:val="0"/>
                      <w:marBottom w:val="0"/>
                      <w:divBdr>
                        <w:top w:val="none" w:sz="0" w:space="0" w:color="auto"/>
                        <w:left w:val="none" w:sz="0" w:space="0" w:color="auto"/>
                        <w:bottom w:val="none" w:sz="0" w:space="0" w:color="auto"/>
                        <w:right w:val="none" w:sz="0" w:space="0" w:color="auto"/>
                      </w:divBdr>
                    </w:div>
                  </w:divsChild>
                </w:div>
                <w:div w:id="1516576371">
                  <w:marLeft w:val="0"/>
                  <w:marRight w:val="0"/>
                  <w:marTop w:val="0"/>
                  <w:marBottom w:val="0"/>
                  <w:divBdr>
                    <w:top w:val="none" w:sz="0" w:space="0" w:color="auto"/>
                    <w:left w:val="none" w:sz="0" w:space="0" w:color="auto"/>
                    <w:bottom w:val="none" w:sz="0" w:space="0" w:color="auto"/>
                    <w:right w:val="none" w:sz="0" w:space="0" w:color="auto"/>
                  </w:divBdr>
                  <w:divsChild>
                    <w:div w:id="1622689382">
                      <w:marLeft w:val="0"/>
                      <w:marRight w:val="0"/>
                      <w:marTop w:val="0"/>
                      <w:marBottom w:val="0"/>
                      <w:divBdr>
                        <w:top w:val="none" w:sz="0" w:space="0" w:color="auto"/>
                        <w:left w:val="none" w:sz="0" w:space="0" w:color="auto"/>
                        <w:bottom w:val="none" w:sz="0" w:space="0" w:color="auto"/>
                        <w:right w:val="none" w:sz="0" w:space="0" w:color="auto"/>
                      </w:divBdr>
                    </w:div>
                  </w:divsChild>
                </w:div>
                <w:div w:id="1524511860">
                  <w:marLeft w:val="0"/>
                  <w:marRight w:val="0"/>
                  <w:marTop w:val="0"/>
                  <w:marBottom w:val="0"/>
                  <w:divBdr>
                    <w:top w:val="none" w:sz="0" w:space="0" w:color="auto"/>
                    <w:left w:val="none" w:sz="0" w:space="0" w:color="auto"/>
                    <w:bottom w:val="none" w:sz="0" w:space="0" w:color="auto"/>
                    <w:right w:val="none" w:sz="0" w:space="0" w:color="auto"/>
                  </w:divBdr>
                  <w:divsChild>
                    <w:div w:id="115293574">
                      <w:marLeft w:val="0"/>
                      <w:marRight w:val="0"/>
                      <w:marTop w:val="0"/>
                      <w:marBottom w:val="0"/>
                      <w:divBdr>
                        <w:top w:val="none" w:sz="0" w:space="0" w:color="auto"/>
                        <w:left w:val="none" w:sz="0" w:space="0" w:color="auto"/>
                        <w:bottom w:val="none" w:sz="0" w:space="0" w:color="auto"/>
                        <w:right w:val="none" w:sz="0" w:space="0" w:color="auto"/>
                      </w:divBdr>
                    </w:div>
                  </w:divsChild>
                </w:div>
                <w:div w:id="1533882819">
                  <w:marLeft w:val="0"/>
                  <w:marRight w:val="0"/>
                  <w:marTop w:val="0"/>
                  <w:marBottom w:val="0"/>
                  <w:divBdr>
                    <w:top w:val="none" w:sz="0" w:space="0" w:color="auto"/>
                    <w:left w:val="none" w:sz="0" w:space="0" w:color="auto"/>
                    <w:bottom w:val="none" w:sz="0" w:space="0" w:color="auto"/>
                    <w:right w:val="none" w:sz="0" w:space="0" w:color="auto"/>
                  </w:divBdr>
                  <w:divsChild>
                    <w:div w:id="2003270016">
                      <w:marLeft w:val="0"/>
                      <w:marRight w:val="0"/>
                      <w:marTop w:val="0"/>
                      <w:marBottom w:val="0"/>
                      <w:divBdr>
                        <w:top w:val="none" w:sz="0" w:space="0" w:color="auto"/>
                        <w:left w:val="none" w:sz="0" w:space="0" w:color="auto"/>
                        <w:bottom w:val="none" w:sz="0" w:space="0" w:color="auto"/>
                        <w:right w:val="none" w:sz="0" w:space="0" w:color="auto"/>
                      </w:divBdr>
                    </w:div>
                  </w:divsChild>
                </w:div>
                <w:div w:id="1563370828">
                  <w:marLeft w:val="0"/>
                  <w:marRight w:val="0"/>
                  <w:marTop w:val="0"/>
                  <w:marBottom w:val="0"/>
                  <w:divBdr>
                    <w:top w:val="none" w:sz="0" w:space="0" w:color="auto"/>
                    <w:left w:val="none" w:sz="0" w:space="0" w:color="auto"/>
                    <w:bottom w:val="none" w:sz="0" w:space="0" w:color="auto"/>
                    <w:right w:val="none" w:sz="0" w:space="0" w:color="auto"/>
                  </w:divBdr>
                  <w:divsChild>
                    <w:div w:id="293633545">
                      <w:marLeft w:val="0"/>
                      <w:marRight w:val="0"/>
                      <w:marTop w:val="0"/>
                      <w:marBottom w:val="0"/>
                      <w:divBdr>
                        <w:top w:val="none" w:sz="0" w:space="0" w:color="auto"/>
                        <w:left w:val="none" w:sz="0" w:space="0" w:color="auto"/>
                        <w:bottom w:val="none" w:sz="0" w:space="0" w:color="auto"/>
                        <w:right w:val="none" w:sz="0" w:space="0" w:color="auto"/>
                      </w:divBdr>
                    </w:div>
                  </w:divsChild>
                </w:div>
                <w:div w:id="1566793175">
                  <w:marLeft w:val="0"/>
                  <w:marRight w:val="0"/>
                  <w:marTop w:val="0"/>
                  <w:marBottom w:val="0"/>
                  <w:divBdr>
                    <w:top w:val="none" w:sz="0" w:space="0" w:color="auto"/>
                    <w:left w:val="none" w:sz="0" w:space="0" w:color="auto"/>
                    <w:bottom w:val="none" w:sz="0" w:space="0" w:color="auto"/>
                    <w:right w:val="none" w:sz="0" w:space="0" w:color="auto"/>
                  </w:divBdr>
                  <w:divsChild>
                    <w:div w:id="2138912898">
                      <w:marLeft w:val="0"/>
                      <w:marRight w:val="0"/>
                      <w:marTop w:val="0"/>
                      <w:marBottom w:val="0"/>
                      <w:divBdr>
                        <w:top w:val="none" w:sz="0" w:space="0" w:color="auto"/>
                        <w:left w:val="none" w:sz="0" w:space="0" w:color="auto"/>
                        <w:bottom w:val="none" w:sz="0" w:space="0" w:color="auto"/>
                        <w:right w:val="none" w:sz="0" w:space="0" w:color="auto"/>
                      </w:divBdr>
                    </w:div>
                  </w:divsChild>
                </w:div>
                <w:div w:id="1569265394">
                  <w:marLeft w:val="0"/>
                  <w:marRight w:val="0"/>
                  <w:marTop w:val="0"/>
                  <w:marBottom w:val="0"/>
                  <w:divBdr>
                    <w:top w:val="none" w:sz="0" w:space="0" w:color="auto"/>
                    <w:left w:val="none" w:sz="0" w:space="0" w:color="auto"/>
                    <w:bottom w:val="none" w:sz="0" w:space="0" w:color="auto"/>
                    <w:right w:val="none" w:sz="0" w:space="0" w:color="auto"/>
                  </w:divBdr>
                  <w:divsChild>
                    <w:div w:id="1531992843">
                      <w:marLeft w:val="0"/>
                      <w:marRight w:val="0"/>
                      <w:marTop w:val="0"/>
                      <w:marBottom w:val="0"/>
                      <w:divBdr>
                        <w:top w:val="none" w:sz="0" w:space="0" w:color="auto"/>
                        <w:left w:val="none" w:sz="0" w:space="0" w:color="auto"/>
                        <w:bottom w:val="none" w:sz="0" w:space="0" w:color="auto"/>
                        <w:right w:val="none" w:sz="0" w:space="0" w:color="auto"/>
                      </w:divBdr>
                    </w:div>
                  </w:divsChild>
                </w:div>
                <w:div w:id="1582717956">
                  <w:marLeft w:val="0"/>
                  <w:marRight w:val="0"/>
                  <w:marTop w:val="0"/>
                  <w:marBottom w:val="0"/>
                  <w:divBdr>
                    <w:top w:val="none" w:sz="0" w:space="0" w:color="auto"/>
                    <w:left w:val="none" w:sz="0" w:space="0" w:color="auto"/>
                    <w:bottom w:val="none" w:sz="0" w:space="0" w:color="auto"/>
                    <w:right w:val="none" w:sz="0" w:space="0" w:color="auto"/>
                  </w:divBdr>
                  <w:divsChild>
                    <w:div w:id="390037088">
                      <w:marLeft w:val="0"/>
                      <w:marRight w:val="0"/>
                      <w:marTop w:val="0"/>
                      <w:marBottom w:val="0"/>
                      <w:divBdr>
                        <w:top w:val="none" w:sz="0" w:space="0" w:color="auto"/>
                        <w:left w:val="none" w:sz="0" w:space="0" w:color="auto"/>
                        <w:bottom w:val="none" w:sz="0" w:space="0" w:color="auto"/>
                        <w:right w:val="none" w:sz="0" w:space="0" w:color="auto"/>
                      </w:divBdr>
                    </w:div>
                  </w:divsChild>
                </w:div>
                <w:div w:id="1593514153">
                  <w:marLeft w:val="0"/>
                  <w:marRight w:val="0"/>
                  <w:marTop w:val="0"/>
                  <w:marBottom w:val="0"/>
                  <w:divBdr>
                    <w:top w:val="none" w:sz="0" w:space="0" w:color="auto"/>
                    <w:left w:val="none" w:sz="0" w:space="0" w:color="auto"/>
                    <w:bottom w:val="none" w:sz="0" w:space="0" w:color="auto"/>
                    <w:right w:val="none" w:sz="0" w:space="0" w:color="auto"/>
                  </w:divBdr>
                  <w:divsChild>
                    <w:div w:id="1413158776">
                      <w:marLeft w:val="0"/>
                      <w:marRight w:val="0"/>
                      <w:marTop w:val="0"/>
                      <w:marBottom w:val="0"/>
                      <w:divBdr>
                        <w:top w:val="none" w:sz="0" w:space="0" w:color="auto"/>
                        <w:left w:val="none" w:sz="0" w:space="0" w:color="auto"/>
                        <w:bottom w:val="none" w:sz="0" w:space="0" w:color="auto"/>
                        <w:right w:val="none" w:sz="0" w:space="0" w:color="auto"/>
                      </w:divBdr>
                    </w:div>
                  </w:divsChild>
                </w:div>
                <w:div w:id="1611161105">
                  <w:marLeft w:val="0"/>
                  <w:marRight w:val="0"/>
                  <w:marTop w:val="0"/>
                  <w:marBottom w:val="0"/>
                  <w:divBdr>
                    <w:top w:val="none" w:sz="0" w:space="0" w:color="auto"/>
                    <w:left w:val="none" w:sz="0" w:space="0" w:color="auto"/>
                    <w:bottom w:val="none" w:sz="0" w:space="0" w:color="auto"/>
                    <w:right w:val="none" w:sz="0" w:space="0" w:color="auto"/>
                  </w:divBdr>
                  <w:divsChild>
                    <w:div w:id="147476234">
                      <w:marLeft w:val="0"/>
                      <w:marRight w:val="0"/>
                      <w:marTop w:val="0"/>
                      <w:marBottom w:val="0"/>
                      <w:divBdr>
                        <w:top w:val="none" w:sz="0" w:space="0" w:color="auto"/>
                        <w:left w:val="none" w:sz="0" w:space="0" w:color="auto"/>
                        <w:bottom w:val="none" w:sz="0" w:space="0" w:color="auto"/>
                        <w:right w:val="none" w:sz="0" w:space="0" w:color="auto"/>
                      </w:divBdr>
                    </w:div>
                  </w:divsChild>
                </w:div>
                <w:div w:id="1642074024">
                  <w:marLeft w:val="0"/>
                  <w:marRight w:val="0"/>
                  <w:marTop w:val="0"/>
                  <w:marBottom w:val="0"/>
                  <w:divBdr>
                    <w:top w:val="none" w:sz="0" w:space="0" w:color="auto"/>
                    <w:left w:val="none" w:sz="0" w:space="0" w:color="auto"/>
                    <w:bottom w:val="none" w:sz="0" w:space="0" w:color="auto"/>
                    <w:right w:val="none" w:sz="0" w:space="0" w:color="auto"/>
                  </w:divBdr>
                  <w:divsChild>
                    <w:div w:id="1472746888">
                      <w:marLeft w:val="0"/>
                      <w:marRight w:val="0"/>
                      <w:marTop w:val="0"/>
                      <w:marBottom w:val="0"/>
                      <w:divBdr>
                        <w:top w:val="none" w:sz="0" w:space="0" w:color="auto"/>
                        <w:left w:val="none" w:sz="0" w:space="0" w:color="auto"/>
                        <w:bottom w:val="none" w:sz="0" w:space="0" w:color="auto"/>
                        <w:right w:val="none" w:sz="0" w:space="0" w:color="auto"/>
                      </w:divBdr>
                    </w:div>
                  </w:divsChild>
                </w:div>
                <w:div w:id="1642880653">
                  <w:marLeft w:val="0"/>
                  <w:marRight w:val="0"/>
                  <w:marTop w:val="0"/>
                  <w:marBottom w:val="0"/>
                  <w:divBdr>
                    <w:top w:val="none" w:sz="0" w:space="0" w:color="auto"/>
                    <w:left w:val="none" w:sz="0" w:space="0" w:color="auto"/>
                    <w:bottom w:val="none" w:sz="0" w:space="0" w:color="auto"/>
                    <w:right w:val="none" w:sz="0" w:space="0" w:color="auto"/>
                  </w:divBdr>
                  <w:divsChild>
                    <w:div w:id="51930986">
                      <w:marLeft w:val="0"/>
                      <w:marRight w:val="0"/>
                      <w:marTop w:val="0"/>
                      <w:marBottom w:val="0"/>
                      <w:divBdr>
                        <w:top w:val="none" w:sz="0" w:space="0" w:color="auto"/>
                        <w:left w:val="none" w:sz="0" w:space="0" w:color="auto"/>
                        <w:bottom w:val="none" w:sz="0" w:space="0" w:color="auto"/>
                        <w:right w:val="none" w:sz="0" w:space="0" w:color="auto"/>
                      </w:divBdr>
                    </w:div>
                  </w:divsChild>
                </w:div>
                <w:div w:id="1645039887">
                  <w:marLeft w:val="0"/>
                  <w:marRight w:val="0"/>
                  <w:marTop w:val="0"/>
                  <w:marBottom w:val="0"/>
                  <w:divBdr>
                    <w:top w:val="none" w:sz="0" w:space="0" w:color="auto"/>
                    <w:left w:val="none" w:sz="0" w:space="0" w:color="auto"/>
                    <w:bottom w:val="none" w:sz="0" w:space="0" w:color="auto"/>
                    <w:right w:val="none" w:sz="0" w:space="0" w:color="auto"/>
                  </w:divBdr>
                  <w:divsChild>
                    <w:div w:id="1143428461">
                      <w:marLeft w:val="0"/>
                      <w:marRight w:val="0"/>
                      <w:marTop w:val="0"/>
                      <w:marBottom w:val="0"/>
                      <w:divBdr>
                        <w:top w:val="none" w:sz="0" w:space="0" w:color="auto"/>
                        <w:left w:val="none" w:sz="0" w:space="0" w:color="auto"/>
                        <w:bottom w:val="none" w:sz="0" w:space="0" w:color="auto"/>
                        <w:right w:val="none" w:sz="0" w:space="0" w:color="auto"/>
                      </w:divBdr>
                    </w:div>
                  </w:divsChild>
                </w:div>
                <w:div w:id="1665861278">
                  <w:marLeft w:val="0"/>
                  <w:marRight w:val="0"/>
                  <w:marTop w:val="0"/>
                  <w:marBottom w:val="0"/>
                  <w:divBdr>
                    <w:top w:val="none" w:sz="0" w:space="0" w:color="auto"/>
                    <w:left w:val="none" w:sz="0" w:space="0" w:color="auto"/>
                    <w:bottom w:val="none" w:sz="0" w:space="0" w:color="auto"/>
                    <w:right w:val="none" w:sz="0" w:space="0" w:color="auto"/>
                  </w:divBdr>
                  <w:divsChild>
                    <w:div w:id="1090352499">
                      <w:marLeft w:val="0"/>
                      <w:marRight w:val="0"/>
                      <w:marTop w:val="0"/>
                      <w:marBottom w:val="0"/>
                      <w:divBdr>
                        <w:top w:val="none" w:sz="0" w:space="0" w:color="auto"/>
                        <w:left w:val="none" w:sz="0" w:space="0" w:color="auto"/>
                        <w:bottom w:val="none" w:sz="0" w:space="0" w:color="auto"/>
                        <w:right w:val="none" w:sz="0" w:space="0" w:color="auto"/>
                      </w:divBdr>
                    </w:div>
                  </w:divsChild>
                </w:div>
                <w:div w:id="1677348047">
                  <w:marLeft w:val="0"/>
                  <w:marRight w:val="0"/>
                  <w:marTop w:val="0"/>
                  <w:marBottom w:val="0"/>
                  <w:divBdr>
                    <w:top w:val="none" w:sz="0" w:space="0" w:color="auto"/>
                    <w:left w:val="none" w:sz="0" w:space="0" w:color="auto"/>
                    <w:bottom w:val="none" w:sz="0" w:space="0" w:color="auto"/>
                    <w:right w:val="none" w:sz="0" w:space="0" w:color="auto"/>
                  </w:divBdr>
                  <w:divsChild>
                    <w:div w:id="176775084">
                      <w:marLeft w:val="0"/>
                      <w:marRight w:val="0"/>
                      <w:marTop w:val="0"/>
                      <w:marBottom w:val="0"/>
                      <w:divBdr>
                        <w:top w:val="none" w:sz="0" w:space="0" w:color="auto"/>
                        <w:left w:val="none" w:sz="0" w:space="0" w:color="auto"/>
                        <w:bottom w:val="none" w:sz="0" w:space="0" w:color="auto"/>
                        <w:right w:val="none" w:sz="0" w:space="0" w:color="auto"/>
                      </w:divBdr>
                    </w:div>
                  </w:divsChild>
                </w:div>
                <w:div w:id="1681467173">
                  <w:marLeft w:val="0"/>
                  <w:marRight w:val="0"/>
                  <w:marTop w:val="0"/>
                  <w:marBottom w:val="0"/>
                  <w:divBdr>
                    <w:top w:val="none" w:sz="0" w:space="0" w:color="auto"/>
                    <w:left w:val="none" w:sz="0" w:space="0" w:color="auto"/>
                    <w:bottom w:val="none" w:sz="0" w:space="0" w:color="auto"/>
                    <w:right w:val="none" w:sz="0" w:space="0" w:color="auto"/>
                  </w:divBdr>
                  <w:divsChild>
                    <w:div w:id="1486357380">
                      <w:marLeft w:val="0"/>
                      <w:marRight w:val="0"/>
                      <w:marTop w:val="0"/>
                      <w:marBottom w:val="0"/>
                      <w:divBdr>
                        <w:top w:val="none" w:sz="0" w:space="0" w:color="auto"/>
                        <w:left w:val="none" w:sz="0" w:space="0" w:color="auto"/>
                        <w:bottom w:val="none" w:sz="0" w:space="0" w:color="auto"/>
                        <w:right w:val="none" w:sz="0" w:space="0" w:color="auto"/>
                      </w:divBdr>
                    </w:div>
                  </w:divsChild>
                </w:div>
                <w:div w:id="1698121139">
                  <w:marLeft w:val="0"/>
                  <w:marRight w:val="0"/>
                  <w:marTop w:val="0"/>
                  <w:marBottom w:val="0"/>
                  <w:divBdr>
                    <w:top w:val="none" w:sz="0" w:space="0" w:color="auto"/>
                    <w:left w:val="none" w:sz="0" w:space="0" w:color="auto"/>
                    <w:bottom w:val="none" w:sz="0" w:space="0" w:color="auto"/>
                    <w:right w:val="none" w:sz="0" w:space="0" w:color="auto"/>
                  </w:divBdr>
                  <w:divsChild>
                    <w:div w:id="2107387706">
                      <w:marLeft w:val="0"/>
                      <w:marRight w:val="0"/>
                      <w:marTop w:val="0"/>
                      <w:marBottom w:val="0"/>
                      <w:divBdr>
                        <w:top w:val="none" w:sz="0" w:space="0" w:color="auto"/>
                        <w:left w:val="none" w:sz="0" w:space="0" w:color="auto"/>
                        <w:bottom w:val="none" w:sz="0" w:space="0" w:color="auto"/>
                        <w:right w:val="none" w:sz="0" w:space="0" w:color="auto"/>
                      </w:divBdr>
                    </w:div>
                  </w:divsChild>
                </w:div>
                <w:div w:id="1742558180">
                  <w:marLeft w:val="0"/>
                  <w:marRight w:val="0"/>
                  <w:marTop w:val="0"/>
                  <w:marBottom w:val="0"/>
                  <w:divBdr>
                    <w:top w:val="none" w:sz="0" w:space="0" w:color="auto"/>
                    <w:left w:val="none" w:sz="0" w:space="0" w:color="auto"/>
                    <w:bottom w:val="none" w:sz="0" w:space="0" w:color="auto"/>
                    <w:right w:val="none" w:sz="0" w:space="0" w:color="auto"/>
                  </w:divBdr>
                  <w:divsChild>
                    <w:div w:id="675810317">
                      <w:marLeft w:val="0"/>
                      <w:marRight w:val="0"/>
                      <w:marTop w:val="0"/>
                      <w:marBottom w:val="0"/>
                      <w:divBdr>
                        <w:top w:val="none" w:sz="0" w:space="0" w:color="auto"/>
                        <w:left w:val="none" w:sz="0" w:space="0" w:color="auto"/>
                        <w:bottom w:val="none" w:sz="0" w:space="0" w:color="auto"/>
                        <w:right w:val="none" w:sz="0" w:space="0" w:color="auto"/>
                      </w:divBdr>
                    </w:div>
                  </w:divsChild>
                </w:div>
                <w:div w:id="1757820224">
                  <w:marLeft w:val="0"/>
                  <w:marRight w:val="0"/>
                  <w:marTop w:val="0"/>
                  <w:marBottom w:val="0"/>
                  <w:divBdr>
                    <w:top w:val="none" w:sz="0" w:space="0" w:color="auto"/>
                    <w:left w:val="none" w:sz="0" w:space="0" w:color="auto"/>
                    <w:bottom w:val="none" w:sz="0" w:space="0" w:color="auto"/>
                    <w:right w:val="none" w:sz="0" w:space="0" w:color="auto"/>
                  </w:divBdr>
                  <w:divsChild>
                    <w:div w:id="2132942833">
                      <w:marLeft w:val="0"/>
                      <w:marRight w:val="0"/>
                      <w:marTop w:val="0"/>
                      <w:marBottom w:val="0"/>
                      <w:divBdr>
                        <w:top w:val="none" w:sz="0" w:space="0" w:color="auto"/>
                        <w:left w:val="none" w:sz="0" w:space="0" w:color="auto"/>
                        <w:bottom w:val="none" w:sz="0" w:space="0" w:color="auto"/>
                        <w:right w:val="none" w:sz="0" w:space="0" w:color="auto"/>
                      </w:divBdr>
                    </w:div>
                  </w:divsChild>
                </w:div>
                <w:div w:id="1765757919">
                  <w:marLeft w:val="0"/>
                  <w:marRight w:val="0"/>
                  <w:marTop w:val="0"/>
                  <w:marBottom w:val="0"/>
                  <w:divBdr>
                    <w:top w:val="none" w:sz="0" w:space="0" w:color="auto"/>
                    <w:left w:val="none" w:sz="0" w:space="0" w:color="auto"/>
                    <w:bottom w:val="none" w:sz="0" w:space="0" w:color="auto"/>
                    <w:right w:val="none" w:sz="0" w:space="0" w:color="auto"/>
                  </w:divBdr>
                  <w:divsChild>
                    <w:div w:id="1895966842">
                      <w:marLeft w:val="0"/>
                      <w:marRight w:val="0"/>
                      <w:marTop w:val="0"/>
                      <w:marBottom w:val="0"/>
                      <w:divBdr>
                        <w:top w:val="none" w:sz="0" w:space="0" w:color="auto"/>
                        <w:left w:val="none" w:sz="0" w:space="0" w:color="auto"/>
                        <w:bottom w:val="none" w:sz="0" w:space="0" w:color="auto"/>
                        <w:right w:val="none" w:sz="0" w:space="0" w:color="auto"/>
                      </w:divBdr>
                    </w:div>
                  </w:divsChild>
                </w:div>
                <w:div w:id="1774933957">
                  <w:marLeft w:val="0"/>
                  <w:marRight w:val="0"/>
                  <w:marTop w:val="0"/>
                  <w:marBottom w:val="0"/>
                  <w:divBdr>
                    <w:top w:val="none" w:sz="0" w:space="0" w:color="auto"/>
                    <w:left w:val="none" w:sz="0" w:space="0" w:color="auto"/>
                    <w:bottom w:val="none" w:sz="0" w:space="0" w:color="auto"/>
                    <w:right w:val="none" w:sz="0" w:space="0" w:color="auto"/>
                  </w:divBdr>
                  <w:divsChild>
                    <w:div w:id="1638683520">
                      <w:marLeft w:val="0"/>
                      <w:marRight w:val="0"/>
                      <w:marTop w:val="0"/>
                      <w:marBottom w:val="0"/>
                      <w:divBdr>
                        <w:top w:val="none" w:sz="0" w:space="0" w:color="auto"/>
                        <w:left w:val="none" w:sz="0" w:space="0" w:color="auto"/>
                        <w:bottom w:val="none" w:sz="0" w:space="0" w:color="auto"/>
                        <w:right w:val="none" w:sz="0" w:space="0" w:color="auto"/>
                      </w:divBdr>
                    </w:div>
                  </w:divsChild>
                </w:div>
                <w:div w:id="1789814204">
                  <w:marLeft w:val="0"/>
                  <w:marRight w:val="0"/>
                  <w:marTop w:val="0"/>
                  <w:marBottom w:val="0"/>
                  <w:divBdr>
                    <w:top w:val="none" w:sz="0" w:space="0" w:color="auto"/>
                    <w:left w:val="none" w:sz="0" w:space="0" w:color="auto"/>
                    <w:bottom w:val="none" w:sz="0" w:space="0" w:color="auto"/>
                    <w:right w:val="none" w:sz="0" w:space="0" w:color="auto"/>
                  </w:divBdr>
                  <w:divsChild>
                    <w:div w:id="672757891">
                      <w:marLeft w:val="0"/>
                      <w:marRight w:val="0"/>
                      <w:marTop w:val="0"/>
                      <w:marBottom w:val="0"/>
                      <w:divBdr>
                        <w:top w:val="none" w:sz="0" w:space="0" w:color="auto"/>
                        <w:left w:val="none" w:sz="0" w:space="0" w:color="auto"/>
                        <w:bottom w:val="none" w:sz="0" w:space="0" w:color="auto"/>
                        <w:right w:val="none" w:sz="0" w:space="0" w:color="auto"/>
                      </w:divBdr>
                    </w:div>
                  </w:divsChild>
                </w:div>
                <w:div w:id="1793015199">
                  <w:marLeft w:val="0"/>
                  <w:marRight w:val="0"/>
                  <w:marTop w:val="0"/>
                  <w:marBottom w:val="0"/>
                  <w:divBdr>
                    <w:top w:val="none" w:sz="0" w:space="0" w:color="auto"/>
                    <w:left w:val="none" w:sz="0" w:space="0" w:color="auto"/>
                    <w:bottom w:val="none" w:sz="0" w:space="0" w:color="auto"/>
                    <w:right w:val="none" w:sz="0" w:space="0" w:color="auto"/>
                  </w:divBdr>
                  <w:divsChild>
                    <w:div w:id="1653870786">
                      <w:marLeft w:val="0"/>
                      <w:marRight w:val="0"/>
                      <w:marTop w:val="0"/>
                      <w:marBottom w:val="0"/>
                      <w:divBdr>
                        <w:top w:val="none" w:sz="0" w:space="0" w:color="auto"/>
                        <w:left w:val="none" w:sz="0" w:space="0" w:color="auto"/>
                        <w:bottom w:val="none" w:sz="0" w:space="0" w:color="auto"/>
                        <w:right w:val="none" w:sz="0" w:space="0" w:color="auto"/>
                      </w:divBdr>
                    </w:div>
                  </w:divsChild>
                </w:div>
                <w:div w:id="1810900886">
                  <w:marLeft w:val="0"/>
                  <w:marRight w:val="0"/>
                  <w:marTop w:val="0"/>
                  <w:marBottom w:val="0"/>
                  <w:divBdr>
                    <w:top w:val="none" w:sz="0" w:space="0" w:color="auto"/>
                    <w:left w:val="none" w:sz="0" w:space="0" w:color="auto"/>
                    <w:bottom w:val="none" w:sz="0" w:space="0" w:color="auto"/>
                    <w:right w:val="none" w:sz="0" w:space="0" w:color="auto"/>
                  </w:divBdr>
                  <w:divsChild>
                    <w:div w:id="1864056535">
                      <w:marLeft w:val="0"/>
                      <w:marRight w:val="0"/>
                      <w:marTop w:val="0"/>
                      <w:marBottom w:val="0"/>
                      <w:divBdr>
                        <w:top w:val="none" w:sz="0" w:space="0" w:color="auto"/>
                        <w:left w:val="none" w:sz="0" w:space="0" w:color="auto"/>
                        <w:bottom w:val="none" w:sz="0" w:space="0" w:color="auto"/>
                        <w:right w:val="none" w:sz="0" w:space="0" w:color="auto"/>
                      </w:divBdr>
                    </w:div>
                  </w:divsChild>
                </w:div>
                <w:div w:id="1813059328">
                  <w:marLeft w:val="0"/>
                  <w:marRight w:val="0"/>
                  <w:marTop w:val="0"/>
                  <w:marBottom w:val="0"/>
                  <w:divBdr>
                    <w:top w:val="none" w:sz="0" w:space="0" w:color="auto"/>
                    <w:left w:val="none" w:sz="0" w:space="0" w:color="auto"/>
                    <w:bottom w:val="none" w:sz="0" w:space="0" w:color="auto"/>
                    <w:right w:val="none" w:sz="0" w:space="0" w:color="auto"/>
                  </w:divBdr>
                  <w:divsChild>
                    <w:div w:id="2137329334">
                      <w:marLeft w:val="0"/>
                      <w:marRight w:val="0"/>
                      <w:marTop w:val="0"/>
                      <w:marBottom w:val="0"/>
                      <w:divBdr>
                        <w:top w:val="none" w:sz="0" w:space="0" w:color="auto"/>
                        <w:left w:val="none" w:sz="0" w:space="0" w:color="auto"/>
                        <w:bottom w:val="none" w:sz="0" w:space="0" w:color="auto"/>
                        <w:right w:val="none" w:sz="0" w:space="0" w:color="auto"/>
                      </w:divBdr>
                    </w:div>
                  </w:divsChild>
                </w:div>
                <w:div w:id="1907303080">
                  <w:marLeft w:val="0"/>
                  <w:marRight w:val="0"/>
                  <w:marTop w:val="0"/>
                  <w:marBottom w:val="0"/>
                  <w:divBdr>
                    <w:top w:val="none" w:sz="0" w:space="0" w:color="auto"/>
                    <w:left w:val="none" w:sz="0" w:space="0" w:color="auto"/>
                    <w:bottom w:val="none" w:sz="0" w:space="0" w:color="auto"/>
                    <w:right w:val="none" w:sz="0" w:space="0" w:color="auto"/>
                  </w:divBdr>
                  <w:divsChild>
                    <w:div w:id="186988294">
                      <w:marLeft w:val="0"/>
                      <w:marRight w:val="0"/>
                      <w:marTop w:val="0"/>
                      <w:marBottom w:val="0"/>
                      <w:divBdr>
                        <w:top w:val="none" w:sz="0" w:space="0" w:color="auto"/>
                        <w:left w:val="none" w:sz="0" w:space="0" w:color="auto"/>
                        <w:bottom w:val="none" w:sz="0" w:space="0" w:color="auto"/>
                        <w:right w:val="none" w:sz="0" w:space="0" w:color="auto"/>
                      </w:divBdr>
                    </w:div>
                  </w:divsChild>
                </w:div>
                <w:div w:id="1911113144">
                  <w:marLeft w:val="0"/>
                  <w:marRight w:val="0"/>
                  <w:marTop w:val="0"/>
                  <w:marBottom w:val="0"/>
                  <w:divBdr>
                    <w:top w:val="none" w:sz="0" w:space="0" w:color="auto"/>
                    <w:left w:val="none" w:sz="0" w:space="0" w:color="auto"/>
                    <w:bottom w:val="none" w:sz="0" w:space="0" w:color="auto"/>
                    <w:right w:val="none" w:sz="0" w:space="0" w:color="auto"/>
                  </w:divBdr>
                  <w:divsChild>
                    <w:div w:id="1897466340">
                      <w:marLeft w:val="0"/>
                      <w:marRight w:val="0"/>
                      <w:marTop w:val="0"/>
                      <w:marBottom w:val="0"/>
                      <w:divBdr>
                        <w:top w:val="none" w:sz="0" w:space="0" w:color="auto"/>
                        <w:left w:val="none" w:sz="0" w:space="0" w:color="auto"/>
                        <w:bottom w:val="none" w:sz="0" w:space="0" w:color="auto"/>
                        <w:right w:val="none" w:sz="0" w:space="0" w:color="auto"/>
                      </w:divBdr>
                    </w:div>
                  </w:divsChild>
                </w:div>
                <w:div w:id="1923758636">
                  <w:marLeft w:val="0"/>
                  <w:marRight w:val="0"/>
                  <w:marTop w:val="0"/>
                  <w:marBottom w:val="0"/>
                  <w:divBdr>
                    <w:top w:val="none" w:sz="0" w:space="0" w:color="auto"/>
                    <w:left w:val="none" w:sz="0" w:space="0" w:color="auto"/>
                    <w:bottom w:val="none" w:sz="0" w:space="0" w:color="auto"/>
                    <w:right w:val="none" w:sz="0" w:space="0" w:color="auto"/>
                  </w:divBdr>
                  <w:divsChild>
                    <w:div w:id="713389554">
                      <w:marLeft w:val="0"/>
                      <w:marRight w:val="0"/>
                      <w:marTop w:val="0"/>
                      <w:marBottom w:val="0"/>
                      <w:divBdr>
                        <w:top w:val="none" w:sz="0" w:space="0" w:color="auto"/>
                        <w:left w:val="none" w:sz="0" w:space="0" w:color="auto"/>
                        <w:bottom w:val="none" w:sz="0" w:space="0" w:color="auto"/>
                        <w:right w:val="none" w:sz="0" w:space="0" w:color="auto"/>
                      </w:divBdr>
                    </w:div>
                  </w:divsChild>
                </w:div>
                <w:div w:id="1925456611">
                  <w:marLeft w:val="0"/>
                  <w:marRight w:val="0"/>
                  <w:marTop w:val="0"/>
                  <w:marBottom w:val="0"/>
                  <w:divBdr>
                    <w:top w:val="none" w:sz="0" w:space="0" w:color="auto"/>
                    <w:left w:val="none" w:sz="0" w:space="0" w:color="auto"/>
                    <w:bottom w:val="none" w:sz="0" w:space="0" w:color="auto"/>
                    <w:right w:val="none" w:sz="0" w:space="0" w:color="auto"/>
                  </w:divBdr>
                  <w:divsChild>
                    <w:div w:id="1623807338">
                      <w:marLeft w:val="0"/>
                      <w:marRight w:val="0"/>
                      <w:marTop w:val="0"/>
                      <w:marBottom w:val="0"/>
                      <w:divBdr>
                        <w:top w:val="none" w:sz="0" w:space="0" w:color="auto"/>
                        <w:left w:val="none" w:sz="0" w:space="0" w:color="auto"/>
                        <w:bottom w:val="none" w:sz="0" w:space="0" w:color="auto"/>
                        <w:right w:val="none" w:sz="0" w:space="0" w:color="auto"/>
                      </w:divBdr>
                    </w:div>
                  </w:divsChild>
                </w:div>
                <w:div w:id="1933002183">
                  <w:marLeft w:val="0"/>
                  <w:marRight w:val="0"/>
                  <w:marTop w:val="0"/>
                  <w:marBottom w:val="0"/>
                  <w:divBdr>
                    <w:top w:val="none" w:sz="0" w:space="0" w:color="auto"/>
                    <w:left w:val="none" w:sz="0" w:space="0" w:color="auto"/>
                    <w:bottom w:val="none" w:sz="0" w:space="0" w:color="auto"/>
                    <w:right w:val="none" w:sz="0" w:space="0" w:color="auto"/>
                  </w:divBdr>
                  <w:divsChild>
                    <w:div w:id="1220483530">
                      <w:marLeft w:val="0"/>
                      <w:marRight w:val="0"/>
                      <w:marTop w:val="0"/>
                      <w:marBottom w:val="0"/>
                      <w:divBdr>
                        <w:top w:val="none" w:sz="0" w:space="0" w:color="auto"/>
                        <w:left w:val="none" w:sz="0" w:space="0" w:color="auto"/>
                        <w:bottom w:val="none" w:sz="0" w:space="0" w:color="auto"/>
                        <w:right w:val="none" w:sz="0" w:space="0" w:color="auto"/>
                      </w:divBdr>
                    </w:div>
                  </w:divsChild>
                </w:div>
                <w:div w:id="1936284657">
                  <w:marLeft w:val="0"/>
                  <w:marRight w:val="0"/>
                  <w:marTop w:val="0"/>
                  <w:marBottom w:val="0"/>
                  <w:divBdr>
                    <w:top w:val="none" w:sz="0" w:space="0" w:color="auto"/>
                    <w:left w:val="none" w:sz="0" w:space="0" w:color="auto"/>
                    <w:bottom w:val="none" w:sz="0" w:space="0" w:color="auto"/>
                    <w:right w:val="none" w:sz="0" w:space="0" w:color="auto"/>
                  </w:divBdr>
                  <w:divsChild>
                    <w:div w:id="827476066">
                      <w:marLeft w:val="0"/>
                      <w:marRight w:val="0"/>
                      <w:marTop w:val="0"/>
                      <w:marBottom w:val="0"/>
                      <w:divBdr>
                        <w:top w:val="none" w:sz="0" w:space="0" w:color="auto"/>
                        <w:left w:val="none" w:sz="0" w:space="0" w:color="auto"/>
                        <w:bottom w:val="none" w:sz="0" w:space="0" w:color="auto"/>
                        <w:right w:val="none" w:sz="0" w:space="0" w:color="auto"/>
                      </w:divBdr>
                    </w:div>
                  </w:divsChild>
                </w:div>
                <w:div w:id="1937904985">
                  <w:marLeft w:val="0"/>
                  <w:marRight w:val="0"/>
                  <w:marTop w:val="0"/>
                  <w:marBottom w:val="0"/>
                  <w:divBdr>
                    <w:top w:val="none" w:sz="0" w:space="0" w:color="auto"/>
                    <w:left w:val="none" w:sz="0" w:space="0" w:color="auto"/>
                    <w:bottom w:val="none" w:sz="0" w:space="0" w:color="auto"/>
                    <w:right w:val="none" w:sz="0" w:space="0" w:color="auto"/>
                  </w:divBdr>
                  <w:divsChild>
                    <w:div w:id="1826702527">
                      <w:marLeft w:val="0"/>
                      <w:marRight w:val="0"/>
                      <w:marTop w:val="0"/>
                      <w:marBottom w:val="0"/>
                      <w:divBdr>
                        <w:top w:val="none" w:sz="0" w:space="0" w:color="auto"/>
                        <w:left w:val="none" w:sz="0" w:space="0" w:color="auto"/>
                        <w:bottom w:val="none" w:sz="0" w:space="0" w:color="auto"/>
                        <w:right w:val="none" w:sz="0" w:space="0" w:color="auto"/>
                      </w:divBdr>
                    </w:div>
                  </w:divsChild>
                </w:div>
                <w:div w:id="1954941420">
                  <w:marLeft w:val="0"/>
                  <w:marRight w:val="0"/>
                  <w:marTop w:val="0"/>
                  <w:marBottom w:val="0"/>
                  <w:divBdr>
                    <w:top w:val="none" w:sz="0" w:space="0" w:color="auto"/>
                    <w:left w:val="none" w:sz="0" w:space="0" w:color="auto"/>
                    <w:bottom w:val="none" w:sz="0" w:space="0" w:color="auto"/>
                    <w:right w:val="none" w:sz="0" w:space="0" w:color="auto"/>
                  </w:divBdr>
                  <w:divsChild>
                    <w:div w:id="436098103">
                      <w:marLeft w:val="0"/>
                      <w:marRight w:val="0"/>
                      <w:marTop w:val="0"/>
                      <w:marBottom w:val="0"/>
                      <w:divBdr>
                        <w:top w:val="none" w:sz="0" w:space="0" w:color="auto"/>
                        <w:left w:val="none" w:sz="0" w:space="0" w:color="auto"/>
                        <w:bottom w:val="none" w:sz="0" w:space="0" w:color="auto"/>
                        <w:right w:val="none" w:sz="0" w:space="0" w:color="auto"/>
                      </w:divBdr>
                    </w:div>
                  </w:divsChild>
                </w:div>
                <w:div w:id="1961107275">
                  <w:marLeft w:val="0"/>
                  <w:marRight w:val="0"/>
                  <w:marTop w:val="0"/>
                  <w:marBottom w:val="0"/>
                  <w:divBdr>
                    <w:top w:val="none" w:sz="0" w:space="0" w:color="auto"/>
                    <w:left w:val="none" w:sz="0" w:space="0" w:color="auto"/>
                    <w:bottom w:val="none" w:sz="0" w:space="0" w:color="auto"/>
                    <w:right w:val="none" w:sz="0" w:space="0" w:color="auto"/>
                  </w:divBdr>
                  <w:divsChild>
                    <w:div w:id="1115172827">
                      <w:marLeft w:val="0"/>
                      <w:marRight w:val="0"/>
                      <w:marTop w:val="0"/>
                      <w:marBottom w:val="0"/>
                      <w:divBdr>
                        <w:top w:val="none" w:sz="0" w:space="0" w:color="auto"/>
                        <w:left w:val="none" w:sz="0" w:space="0" w:color="auto"/>
                        <w:bottom w:val="none" w:sz="0" w:space="0" w:color="auto"/>
                        <w:right w:val="none" w:sz="0" w:space="0" w:color="auto"/>
                      </w:divBdr>
                    </w:div>
                  </w:divsChild>
                </w:div>
                <w:div w:id="1964075458">
                  <w:marLeft w:val="0"/>
                  <w:marRight w:val="0"/>
                  <w:marTop w:val="0"/>
                  <w:marBottom w:val="0"/>
                  <w:divBdr>
                    <w:top w:val="none" w:sz="0" w:space="0" w:color="auto"/>
                    <w:left w:val="none" w:sz="0" w:space="0" w:color="auto"/>
                    <w:bottom w:val="none" w:sz="0" w:space="0" w:color="auto"/>
                    <w:right w:val="none" w:sz="0" w:space="0" w:color="auto"/>
                  </w:divBdr>
                  <w:divsChild>
                    <w:div w:id="1063480724">
                      <w:marLeft w:val="0"/>
                      <w:marRight w:val="0"/>
                      <w:marTop w:val="0"/>
                      <w:marBottom w:val="0"/>
                      <w:divBdr>
                        <w:top w:val="none" w:sz="0" w:space="0" w:color="auto"/>
                        <w:left w:val="none" w:sz="0" w:space="0" w:color="auto"/>
                        <w:bottom w:val="none" w:sz="0" w:space="0" w:color="auto"/>
                        <w:right w:val="none" w:sz="0" w:space="0" w:color="auto"/>
                      </w:divBdr>
                    </w:div>
                  </w:divsChild>
                </w:div>
                <w:div w:id="1965884881">
                  <w:marLeft w:val="0"/>
                  <w:marRight w:val="0"/>
                  <w:marTop w:val="0"/>
                  <w:marBottom w:val="0"/>
                  <w:divBdr>
                    <w:top w:val="none" w:sz="0" w:space="0" w:color="auto"/>
                    <w:left w:val="none" w:sz="0" w:space="0" w:color="auto"/>
                    <w:bottom w:val="none" w:sz="0" w:space="0" w:color="auto"/>
                    <w:right w:val="none" w:sz="0" w:space="0" w:color="auto"/>
                  </w:divBdr>
                  <w:divsChild>
                    <w:div w:id="1909684536">
                      <w:marLeft w:val="0"/>
                      <w:marRight w:val="0"/>
                      <w:marTop w:val="0"/>
                      <w:marBottom w:val="0"/>
                      <w:divBdr>
                        <w:top w:val="none" w:sz="0" w:space="0" w:color="auto"/>
                        <w:left w:val="none" w:sz="0" w:space="0" w:color="auto"/>
                        <w:bottom w:val="none" w:sz="0" w:space="0" w:color="auto"/>
                        <w:right w:val="none" w:sz="0" w:space="0" w:color="auto"/>
                      </w:divBdr>
                    </w:div>
                  </w:divsChild>
                </w:div>
                <w:div w:id="1983146004">
                  <w:marLeft w:val="0"/>
                  <w:marRight w:val="0"/>
                  <w:marTop w:val="0"/>
                  <w:marBottom w:val="0"/>
                  <w:divBdr>
                    <w:top w:val="none" w:sz="0" w:space="0" w:color="auto"/>
                    <w:left w:val="none" w:sz="0" w:space="0" w:color="auto"/>
                    <w:bottom w:val="none" w:sz="0" w:space="0" w:color="auto"/>
                    <w:right w:val="none" w:sz="0" w:space="0" w:color="auto"/>
                  </w:divBdr>
                  <w:divsChild>
                    <w:div w:id="1501044925">
                      <w:marLeft w:val="0"/>
                      <w:marRight w:val="0"/>
                      <w:marTop w:val="0"/>
                      <w:marBottom w:val="0"/>
                      <w:divBdr>
                        <w:top w:val="none" w:sz="0" w:space="0" w:color="auto"/>
                        <w:left w:val="none" w:sz="0" w:space="0" w:color="auto"/>
                        <w:bottom w:val="none" w:sz="0" w:space="0" w:color="auto"/>
                        <w:right w:val="none" w:sz="0" w:space="0" w:color="auto"/>
                      </w:divBdr>
                    </w:div>
                  </w:divsChild>
                </w:div>
                <w:div w:id="1990160605">
                  <w:marLeft w:val="0"/>
                  <w:marRight w:val="0"/>
                  <w:marTop w:val="0"/>
                  <w:marBottom w:val="0"/>
                  <w:divBdr>
                    <w:top w:val="none" w:sz="0" w:space="0" w:color="auto"/>
                    <w:left w:val="none" w:sz="0" w:space="0" w:color="auto"/>
                    <w:bottom w:val="none" w:sz="0" w:space="0" w:color="auto"/>
                    <w:right w:val="none" w:sz="0" w:space="0" w:color="auto"/>
                  </w:divBdr>
                  <w:divsChild>
                    <w:div w:id="1494025483">
                      <w:marLeft w:val="0"/>
                      <w:marRight w:val="0"/>
                      <w:marTop w:val="0"/>
                      <w:marBottom w:val="0"/>
                      <w:divBdr>
                        <w:top w:val="none" w:sz="0" w:space="0" w:color="auto"/>
                        <w:left w:val="none" w:sz="0" w:space="0" w:color="auto"/>
                        <w:bottom w:val="none" w:sz="0" w:space="0" w:color="auto"/>
                        <w:right w:val="none" w:sz="0" w:space="0" w:color="auto"/>
                      </w:divBdr>
                    </w:div>
                  </w:divsChild>
                </w:div>
                <w:div w:id="2005357636">
                  <w:marLeft w:val="0"/>
                  <w:marRight w:val="0"/>
                  <w:marTop w:val="0"/>
                  <w:marBottom w:val="0"/>
                  <w:divBdr>
                    <w:top w:val="none" w:sz="0" w:space="0" w:color="auto"/>
                    <w:left w:val="none" w:sz="0" w:space="0" w:color="auto"/>
                    <w:bottom w:val="none" w:sz="0" w:space="0" w:color="auto"/>
                    <w:right w:val="none" w:sz="0" w:space="0" w:color="auto"/>
                  </w:divBdr>
                  <w:divsChild>
                    <w:div w:id="1068382195">
                      <w:marLeft w:val="0"/>
                      <w:marRight w:val="0"/>
                      <w:marTop w:val="0"/>
                      <w:marBottom w:val="0"/>
                      <w:divBdr>
                        <w:top w:val="none" w:sz="0" w:space="0" w:color="auto"/>
                        <w:left w:val="none" w:sz="0" w:space="0" w:color="auto"/>
                        <w:bottom w:val="none" w:sz="0" w:space="0" w:color="auto"/>
                        <w:right w:val="none" w:sz="0" w:space="0" w:color="auto"/>
                      </w:divBdr>
                    </w:div>
                  </w:divsChild>
                </w:div>
                <w:div w:id="2010325370">
                  <w:marLeft w:val="0"/>
                  <w:marRight w:val="0"/>
                  <w:marTop w:val="0"/>
                  <w:marBottom w:val="0"/>
                  <w:divBdr>
                    <w:top w:val="none" w:sz="0" w:space="0" w:color="auto"/>
                    <w:left w:val="none" w:sz="0" w:space="0" w:color="auto"/>
                    <w:bottom w:val="none" w:sz="0" w:space="0" w:color="auto"/>
                    <w:right w:val="none" w:sz="0" w:space="0" w:color="auto"/>
                  </w:divBdr>
                  <w:divsChild>
                    <w:div w:id="1759255263">
                      <w:marLeft w:val="0"/>
                      <w:marRight w:val="0"/>
                      <w:marTop w:val="0"/>
                      <w:marBottom w:val="0"/>
                      <w:divBdr>
                        <w:top w:val="none" w:sz="0" w:space="0" w:color="auto"/>
                        <w:left w:val="none" w:sz="0" w:space="0" w:color="auto"/>
                        <w:bottom w:val="none" w:sz="0" w:space="0" w:color="auto"/>
                        <w:right w:val="none" w:sz="0" w:space="0" w:color="auto"/>
                      </w:divBdr>
                    </w:div>
                  </w:divsChild>
                </w:div>
                <w:div w:id="2017266364">
                  <w:marLeft w:val="0"/>
                  <w:marRight w:val="0"/>
                  <w:marTop w:val="0"/>
                  <w:marBottom w:val="0"/>
                  <w:divBdr>
                    <w:top w:val="none" w:sz="0" w:space="0" w:color="auto"/>
                    <w:left w:val="none" w:sz="0" w:space="0" w:color="auto"/>
                    <w:bottom w:val="none" w:sz="0" w:space="0" w:color="auto"/>
                    <w:right w:val="none" w:sz="0" w:space="0" w:color="auto"/>
                  </w:divBdr>
                  <w:divsChild>
                    <w:div w:id="953635842">
                      <w:marLeft w:val="0"/>
                      <w:marRight w:val="0"/>
                      <w:marTop w:val="0"/>
                      <w:marBottom w:val="0"/>
                      <w:divBdr>
                        <w:top w:val="none" w:sz="0" w:space="0" w:color="auto"/>
                        <w:left w:val="none" w:sz="0" w:space="0" w:color="auto"/>
                        <w:bottom w:val="none" w:sz="0" w:space="0" w:color="auto"/>
                        <w:right w:val="none" w:sz="0" w:space="0" w:color="auto"/>
                      </w:divBdr>
                    </w:div>
                  </w:divsChild>
                </w:div>
                <w:div w:id="2026595707">
                  <w:marLeft w:val="0"/>
                  <w:marRight w:val="0"/>
                  <w:marTop w:val="0"/>
                  <w:marBottom w:val="0"/>
                  <w:divBdr>
                    <w:top w:val="none" w:sz="0" w:space="0" w:color="auto"/>
                    <w:left w:val="none" w:sz="0" w:space="0" w:color="auto"/>
                    <w:bottom w:val="none" w:sz="0" w:space="0" w:color="auto"/>
                    <w:right w:val="none" w:sz="0" w:space="0" w:color="auto"/>
                  </w:divBdr>
                  <w:divsChild>
                    <w:div w:id="2035493187">
                      <w:marLeft w:val="0"/>
                      <w:marRight w:val="0"/>
                      <w:marTop w:val="0"/>
                      <w:marBottom w:val="0"/>
                      <w:divBdr>
                        <w:top w:val="none" w:sz="0" w:space="0" w:color="auto"/>
                        <w:left w:val="none" w:sz="0" w:space="0" w:color="auto"/>
                        <w:bottom w:val="none" w:sz="0" w:space="0" w:color="auto"/>
                        <w:right w:val="none" w:sz="0" w:space="0" w:color="auto"/>
                      </w:divBdr>
                    </w:div>
                  </w:divsChild>
                </w:div>
                <w:div w:id="2042313524">
                  <w:marLeft w:val="0"/>
                  <w:marRight w:val="0"/>
                  <w:marTop w:val="0"/>
                  <w:marBottom w:val="0"/>
                  <w:divBdr>
                    <w:top w:val="none" w:sz="0" w:space="0" w:color="auto"/>
                    <w:left w:val="none" w:sz="0" w:space="0" w:color="auto"/>
                    <w:bottom w:val="none" w:sz="0" w:space="0" w:color="auto"/>
                    <w:right w:val="none" w:sz="0" w:space="0" w:color="auto"/>
                  </w:divBdr>
                  <w:divsChild>
                    <w:div w:id="449129545">
                      <w:marLeft w:val="0"/>
                      <w:marRight w:val="0"/>
                      <w:marTop w:val="0"/>
                      <w:marBottom w:val="0"/>
                      <w:divBdr>
                        <w:top w:val="none" w:sz="0" w:space="0" w:color="auto"/>
                        <w:left w:val="none" w:sz="0" w:space="0" w:color="auto"/>
                        <w:bottom w:val="none" w:sz="0" w:space="0" w:color="auto"/>
                        <w:right w:val="none" w:sz="0" w:space="0" w:color="auto"/>
                      </w:divBdr>
                    </w:div>
                  </w:divsChild>
                </w:div>
                <w:div w:id="2090036846">
                  <w:marLeft w:val="0"/>
                  <w:marRight w:val="0"/>
                  <w:marTop w:val="0"/>
                  <w:marBottom w:val="0"/>
                  <w:divBdr>
                    <w:top w:val="none" w:sz="0" w:space="0" w:color="auto"/>
                    <w:left w:val="none" w:sz="0" w:space="0" w:color="auto"/>
                    <w:bottom w:val="none" w:sz="0" w:space="0" w:color="auto"/>
                    <w:right w:val="none" w:sz="0" w:space="0" w:color="auto"/>
                  </w:divBdr>
                  <w:divsChild>
                    <w:div w:id="2109621533">
                      <w:marLeft w:val="0"/>
                      <w:marRight w:val="0"/>
                      <w:marTop w:val="0"/>
                      <w:marBottom w:val="0"/>
                      <w:divBdr>
                        <w:top w:val="none" w:sz="0" w:space="0" w:color="auto"/>
                        <w:left w:val="none" w:sz="0" w:space="0" w:color="auto"/>
                        <w:bottom w:val="none" w:sz="0" w:space="0" w:color="auto"/>
                        <w:right w:val="none" w:sz="0" w:space="0" w:color="auto"/>
                      </w:divBdr>
                    </w:div>
                  </w:divsChild>
                </w:div>
                <w:div w:id="2142724566">
                  <w:marLeft w:val="0"/>
                  <w:marRight w:val="0"/>
                  <w:marTop w:val="0"/>
                  <w:marBottom w:val="0"/>
                  <w:divBdr>
                    <w:top w:val="none" w:sz="0" w:space="0" w:color="auto"/>
                    <w:left w:val="none" w:sz="0" w:space="0" w:color="auto"/>
                    <w:bottom w:val="none" w:sz="0" w:space="0" w:color="auto"/>
                    <w:right w:val="none" w:sz="0" w:space="0" w:color="auto"/>
                  </w:divBdr>
                  <w:divsChild>
                    <w:div w:id="1333947523">
                      <w:marLeft w:val="0"/>
                      <w:marRight w:val="0"/>
                      <w:marTop w:val="0"/>
                      <w:marBottom w:val="0"/>
                      <w:divBdr>
                        <w:top w:val="none" w:sz="0" w:space="0" w:color="auto"/>
                        <w:left w:val="none" w:sz="0" w:space="0" w:color="auto"/>
                        <w:bottom w:val="none" w:sz="0" w:space="0" w:color="auto"/>
                        <w:right w:val="none" w:sz="0" w:space="0" w:color="auto"/>
                      </w:divBdr>
                    </w:div>
                  </w:divsChild>
                </w:div>
                <w:div w:id="2145465744">
                  <w:marLeft w:val="0"/>
                  <w:marRight w:val="0"/>
                  <w:marTop w:val="0"/>
                  <w:marBottom w:val="0"/>
                  <w:divBdr>
                    <w:top w:val="none" w:sz="0" w:space="0" w:color="auto"/>
                    <w:left w:val="none" w:sz="0" w:space="0" w:color="auto"/>
                    <w:bottom w:val="none" w:sz="0" w:space="0" w:color="auto"/>
                    <w:right w:val="none" w:sz="0" w:space="0" w:color="auto"/>
                  </w:divBdr>
                  <w:divsChild>
                    <w:div w:id="206891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116268">
          <w:marLeft w:val="0"/>
          <w:marRight w:val="0"/>
          <w:marTop w:val="0"/>
          <w:marBottom w:val="0"/>
          <w:divBdr>
            <w:top w:val="none" w:sz="0" w:space="0" w:color="auto"/>
            <w:left w:val="none" w:sz="0" w:space="0" w:color="auto"/>
            <w:bottom w:val="none" w:sz="0" w:space="0" w:color="auto"/>
            <w:right w:val="none" w:sz="0" w:space="0" w:color="auto"/>
          </w:divBdr>
        </w:div>
        <w:div w:id="1423335049">
          <w:marLeft w:val="0"/>
          <w:marRight w:val="0"/>
          <w:marTop w:val="0"/>
          <w:marBottom w:val="0"/>
          <w:divBdr>
            <w:top w:val="none" w:sz="0" w:space="0" w:color="auto"/>
            <w:left w:val="none" w:sz="0" w:space="0" w:color="auto"/>
            <w:bottom w:val="none" w:sz="0" w:space="0" w:color="auto"/>
            <w:right w:val="none" w:sz="0" w:space="0" w:color="auto"/>
          </w:divBdr>
        </w:div>
        <w:div w:id="1538195649">
          <w:marLeft w:val="0"/>
          <w:marRight w:val="0"/>
          <w:marTop w:val="0"/>
          <w:marBottom w:val="0"/>
          <w:divBdr>
            <w:top w:val="none" w:sz="0" w:space="0" w:color="auto"/>
            <w:left w:val="none" w:sz="0" w:space="0" w:color="auto"/>
            <w:bottom w:val="none" w:sz="0" w:space="0" w:color="auto"/>
            <w:right w:val="none" w:sz="0" w:space="0" w:color="auto"/>
          </w:divBdr>
        </w:div>
        <w:div w:id="1918704941">
          <w:marLeft w:val="0"/>
          <w:marRight w:val="0"/>
          <w:marTop w:val="0"/>
          <w:marBottom w:val="0"/>
          <w:divBdr>
            <w:top w:val="none" w:sz="0" w:space="0" w:color="auto"/>
            <w:left w:val="none" w:sz="0" w:space="0" w:color="auto"/>
            <w:bottom w:val="none" w:sz="0" w:space="0" w:color="auto"/>
            <w:right w:val="none" w:sz="0" w:space="0" w:color="auto"/>
          </w:divBdr>
        </w:div>
        <w:div w:id="2098282839">
          <w:marLeft w:val="0"/>
          <w:marRight w:val="0"/>
          <w:marTop w:val="0"/>
          <w:marBottom w:val="0"/>
          <w:divBdr>
            <w:top w:val="none" w:sz="0" w:space="0" w:color="auto"/>
            <w:left w:val="none" w:sz="0" w:space="0" w:color="auto"/>
            <w:bottom w:val="none" w:sz="0" w:space="0" w:color="auto"/>
            <w:right w:val="none" w:sz="0" w:space="0" w:color="auto"/>
          </w:divBdr>
        </w:div>
      </w:divsChild>
    </w:div>
    <w:div w:id="1926257739">
      <w:bodyDiv w:val="1"/>
      <w:marLeft w:val="0"/>
      <w:marRight w:val="0"/>
      <w:marTop w:val="0"/>
      <w:marBottom w:val="0"/>
      <w:divBdr>
        <w:top w:val="none" w:sz="0" w:space="0" w:color="auto"/>
        <w:left w:val="none" w:sz="0" w:space="0" w:color="auto"/>
        <w:bottom w:val="none" w:sz="0" w:space="0" w:color="auto"/>
        <w:right w:val="none" w:sz="0" w:space="0" w:color="auto"/>
      </w:divBdr>
      <w:divsChild>
        <w:div w:id="1033917773">
          <w:marLeft w:val="0"/>
          <w:marRight w:val="0"/>
          <w:marTop w:val="0"/>
          <w:marBottom w:val="0"/>
          <w:divBdr>
            <w:top w:val="none" w:sz="0" w:space="0" w:color="auto"/>
            <w:left w:val="none" w:sz="0" w:space="0" w:color="auto"/>
            <w:bottom w:val="none" w:sz="0" w:space="0" w:color="auto"/>
            <w:right w:val="none" w:sz="0" w:space="0" w:color="auto"/>
          </w:divBdr>
          <w:divsChild>
            <w:div w:id="428506432">
              <w:marLeft w:val="0"/>
              <w:marRight w:val="0"/>
              <w:marTop w:val="0"/>
              <w:marBottom w:val="0"/>
              <w:divBdr>
                <w:top w:val="none" w:sz="0" w:space="0" w:color="auto"/>
                <w:left w:val="none" w:sz="0" w:space="0" w:color="auto"/>
                <w:bottom w:val="none" w:sz="0" w:space="0" w:color="auto"/>
                <w:right w:val="none" w:sz="0" w:space="0" w:color="auto"/>
              </w:divBdr>
              <w:divsChild>
                <w:div w:id="1132594400">
                  <w:marLeft w:val="0"/>
                  <w:marRight w:val="0"/>
                  <w:marTop w:val="0"/>
                  <w:marBottom w:val="0"/>
                  <w:divBdr>
                    <w:top w:val="none" w:sz="0" w:space="0" w:color="auto"/>
                    <w:left w:val="none" w:sz="0" w:space="0" w:color="auto"/>
                    <w:bottom w:val="none" w:sz="0" w:space="0" w:color="auto"/>
                    <w:right w:val="none" w:sz="0" w:space="0" w:color="auto"/>
                  </w:divBdr>
                  <w:divsChild>
                    <w:div w:id="840848618">
                      <w:marLeft w:val="0"/>
                      <w:marRight w:val="0"/>
                      <w:marTop w:val="0"/>
                      <w:marBottom w:val="0"/>
                      <w:divBdr>
                        <w:top w:val="none" w:sz="0" w:space="0" w:color="auto"/>
                        <w:left w:val="none" w:sz="0" w:space="0" w:color="auto"/>
                        <w:bottom w:val="none" w:sz="0" w:space="0" w:color="auto"/>
                        <w:right w:val="none" w:sz="0" w:space="0" w:color="auto"/>
                      </w:divBdr>
                      <w:divsChild>
                        <w:div w:id="237133328">
                          <w:marLeft w:val="0"/>
                          <w:marRight w:val="0"/>
                          <w:marTop w:val="0"/>
                          <w:marBottom w:val="0"/>
                          <w:divBdr>
                            <w:top w:val="none" w:sz="0" w:space="0" w:color="auto"/>
                            <w:left w:val="none" w:sz="0" w:space="0" w:color="auto"/>
                            <w:bottom w:val="none" w:sz="0" w:space="0" w:color="auto"/>
                            <w:right w:val="none" w:sz="0" w:space="0" w:color="auto"/>
                          </w:divBdr>
                          <w:divsChild>
                            <w:div w:id="737822799">
                              <w:marLeft w:val="0"/>
                              <w:marRight w:val="0"/>
                              <w:marTop w:val="0"/>
                              <w:marBottom w:val="0"/>
                              <w:divBdr>
                                <w:top w:val="none" w:sz="0" w:space="0" w:color="auto"/>
                                <w:left w:val="none" w:sz="0" w:space="0" w:color="auto"/>
                                <w:bottom w:val="none" w:sz="0" w:space="0" w:color="auto"/>
                                <w:right w:val="none" w:sz="0" w:space="0" w:color="auto"/>
                              </w:divBdr>
                              <w:divsChild>
                                <w:div w:id="885799668">
                                  <w:marLeft w:val="0"/>
                                  <w:marRight w:val="0"/>
                                  <w:marTop w:val="0"/>
                                  <w:marBottom w:val="0"/>
                                  <w:divBdr>
                                    <w:top w:val="none" w:sz="0" w:space="0" w:color="auto"/>
                                    <w:left w:val="none" w:sz="0" w:space="0" w:color="auto"/>
                                    <w:bottom w:val="none" w:sz="0" w:space="0" w:color="auto"/>
                                    <w:right w:val="none" w:sz="0" w:space="0" w:color="auto"/>
                                  </w:divBdr>
                                  <w:divsChild>
                                    <w:div w:id="197632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8071721">
          <w:marLeft w:val="0"/>
          <w:marRight w:val="0"/>
          <w:marTop w:val="0"/>
          <w:marBottom w:val="0"/>
          <w:divBdr>
            <w:top w:val="none" w:sz="0" w:space="0" w:color="auto"/>
            <w:left w:val="none" w:sz="0" w:space="0" w:color="auto"/>
            <w:bottom w:val="none" w:sz="0" w:space="0" w:color="auto"/>
            <w:right w:val="none" w:sz="0" w:space="0" w:color="auto"/>
          </w:divBdr>
          <w:divsChild>
            <w:div w:id="763575343">
              <w:marLeft w:val="0"/>
              <w:marRight w:val="0"/>
              <w:marTop w:val="0"/>
              <w:marBottom w:val="0"/>
              <w:divBdr>
                <w:top w:val="none" w:sz="0" w:space="0" w:color="auto"/>
                <w:left w:val="none" w:sz="0" w:space="0" w:color="auto"/>
                <w:bottom w:val="none" w:sz="0" w:space="0" w:color="auto"/>
                <w:right w:val="none" w:sz="0" w:space="0" w:color="auto"/>
              </w:divBdr>
              <w:divsChild>
                <w:div w:id="780534218">
                  <w:marLeft w:val="0"/>
                  <w:marRight w:val="0"/>
                  <w:marTop w:val="0"/>
                  <w:marBottom w:val="0"/>
                  <w:divBdr>
                    <w:top w:val="none" w:sz="0" w:space="0" w:color="auto"/>
                    <w:left w:val="none" w:sz="0" w:space="0" w:color="auto"/>
                    <w:bottom w:val="none" w:sz="0" w:space="0" w:color="auto"/>
                    <w:right w:val="none" w:sz="0" w:space="0" w:color="auto"/>
                  </w:divBdr>
                  <w:divsChild>
                    <w:div w:id="1990359773">
                      <w:marLeft w:val="0"/>
                      <w:marRight w:val="0"/>
                      <w:marTop w:val="0"/>
                      <w:marBottom w:val="0"/>
                      <w:divBdr>
                        <w:top w:val="none" w:sz="0" w:space="0" w:color="auto"/>
                        <w:left w:val="none" w:sz="0" w:space="0" w:color="auto"/>
                        <w:bottom w:val="none" w:sz="0" w:space="0" w:color="auto"/>
                        <w:right w:val="none" w:sz="0" w:space="0" w:color="auto"/>
                      </w:divBdr>
                      <w:divsChild>
                        <w:div w:id="208883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4994028">
      <w:bodyDiv w:val="1"/>
      <w:marLeft w:val="0"/>
      <w:marRight w:val="0"/>
      <w:marTop w:val="0"/>
      <w:marBottom w:val="0"/>
      <w:divBdr>
        <w:top w:val="none" w:sz="0" w:space="0" w:color="auto"/>
        <w:left w:val="none" w:sz="0" w:space="0" w:color="auto"/>
        <w:bottom w:val="none" w:sz="0" w:space="0" w:color="auto"/>
        <w:right w:val="none" w:sz="0" w:space="0" w:color="auto"/>
      </w:divBdr>
    </w:div>
    <w:div w:id="1970356750">
      <w:bodyDiv w:val="1"/>
      <w:marLeft w:val="0"/>
      <w:marRight w:val="0"/>
      <w:marTop w:val="0"/>
      <w:marBottom w:val="0"/>
      <w:divBdr>
        <w:top w:val="none" w:sz="0" w:space="0" w:color="auto"/>
        <w:left w:val="none" w:sz="0" w:space="0" w:color="auto"/>
        <w:bottom w:val="none" w:sz="0" w:space="0" w:color="auto"/>
        <w:right w:val="none" w:sz="0" w:space="0" w:color="auto"/>
      </w:divBdr>
    </w:div>
    <w:div w:id="1972251782">
      <w:bodyDiv w:val="1"/>
      <w:marLeft w:val="0"/>
      <w:marRight w:val="0"/>
      <w:marTop w:val="0"/>
      <w:marBottom w:val="0"/>
      <w:divBdr>
        <w:top w:val="none" w:sz="0" w:space="0" w:color="auto"/>
        <w:left w:val="none" w:sz="0" w:space="0" w:color="auto"/>
        <w:bottom w:val="none" w:sz="0" w:space="0" w:color="auto"/>
        <w:right w:val="none" w:sz="0" w:space="0" w:color="auto"/>
      </w:divBdr>
    </w:div>
    <w:div w:id="1980068773">
      <w:bodyDiv w:val="1"/>
      <w:marLeft w:val="0"/>
      <w:marRight w:val="0"/>
      <w:marTop w:val="0"/>
      <w:marBottom w:val="0"/>
      <w:divBdr>
        <w:top w:val="none" w:sz="0" w:space="0" w:color="auto"/>
        <w:left w:val="none" w:sz="0" w:space="0" w:color="auto"/>
        <w:bottom w:val="none" w:sz="0" w:space="0" w:color="auto"/>
        <w:right w:val="none" w:sz="0" w:space="0" w:color="auto"/>
      </w:divBdr>
    </w:div>
    <w:div w:id="1982926325">
      <w:bodyDiv w:val="1"/>
      <w:marLeft w:val="0"/>
      <w:marRight w:val="0"/>
      <w:marTop w:val="0"/>
      <w:marBottom w:val="0"/>
      <w:divBdr>
        <w:top w:val="none" w:sz="0" w:space="0" w:color="auto"/>
        <w:left w:val="none" w:sz="0" w:space="0" w:color="auto"/>
        <w:bottom w:val="none" w:sz="0" w:space="0" w:color="auto"/>
        <w:right w:val="none" w:sz="0" w:space="0" w:color="auto"/>
      </w:divBdr>
      <w:divsChild>
        <w:div w:id="1342974001">
          <w:marLeft w:val="0"/>
          <w:marRight w:val="0"/>
          <w:marTop w:val="0"/>
          <w:marBottom w:val="0"/>
          <w:divBdr>
            <w:top w:val="none" w:sz="0" w:space="0" w:color="auto"/>
            <w:left w:val="none" w:sz="0" w:space="0" w:color="auto"/>
            <w:bottom w:val="none" w:sz="0" w:space="0" w:color="auto"/>
            <w:right w:val="none" w:sz="0" w:space="0" w:color="auto"/>
          </w:divBdr>
        </w:div>
      </w:divsChild>
    </w:div>
    <w:div w:id="1990817228">
      <w:bodyDiv w:val="1"/>
      <w:marLeft w:val="0"/>
      <w:marRight w:val="0"/>
      <w:marTop w:val="0"/>
      <w:marBottom w:val="0"/>
      <w:divBdr>
        <w:top w:val="none" w:sz="0" w:space="0" w:color="auto"/>
        <w:left w:val="none" w:sz="0" w:space="0" w:color="auto"/>
        <w:bottom w:val="none" w:sz="0" w:space="0" w:color="auto"/>
        <w:right w:val="none" w:sz="0" w:space="0" w:color="auto"/>
      </w:divBdr>
    </w:div>
    <w:div w:id="1990941704">
      <w:bodyDiv w:val="1"/>
      <w:marLeft w:val="0"/>
      <w:marRight w:val="0"/>
      <w:marTop w:val="0"/>
      <w:marBottom w:val="0"/>
      <w:divBdr>
        <w:top w:val="none" w:sz="0" w:space="0" w:color="auto"/>
        <w:left w:val="none" w:sz="0" w:space="0" w:color="auto"/>
        <w:bottom w:val="none" w:sz="0" w:space="0" w:color="auto"/>
        <w:right w:val="none" w:sz="0" w:space="0" w:color="auto"/>
      </w:divBdr>
      <w:divsChild>
        <w:div w:id="1602647121">
          <w:marLeft w:val="0"/>
          <w:marRight w:val="0"/>
          <w:marTop w:val="0"/>
          <w:marBottom w:val="0"/>
          <w:divBdr>
            <w:top w:val="none" w:sz="0" w:space="0" w:color="auto"/>
            <w:left w:val="none" w:sz="0" w:space="0" w:color="auto"/>
            <w:bottom w:val="none" w:sz="0" w:space="0" w:color="auto"/>
            <w:right w:val="none" w:sz="0" w:space="0" w:color="auto"/>
          </w:divBdr>
        </w:div>
      </w:divsChild>
    </w:div>
    <w:div w:id="2032946287">
      <w:bodyDiv w:val="1"/>
      <w:marLeft w:val="0"/>
      <w:marRight w:val="0"/>
      <w:marTop w:val="0"/>
      <w:marBottom w:val="0"/>
      <w:divBdr>
        <w:top w:val="none" w:sz="0" w:space="0" w:color="auto"/>
        <w:left w:val="none" w:sz="0" w:space="0" w:color="auto"/>
        <w:bottom w:val="none" w:sz="0" w:space="0" w:color="auto"/>
        <w:right w:val="none" w:sz="0" w:space="0" w:color="auto"/>
      </w:divBdr>
    </w:div>
    <w:div w:id="2038965524">
      <w:bodyDiv w:val="1"/>
      <w:marLeft w:val="0"/>
      <w:marRight w:val="0"/>
      <w:marTop w:val="0"/>
      <w:marBottom w:val="0"/>
      <w:divBdr>
        <w:top w:val="none" w:sz="0" w:space="0" w:color="auto"/>
        <w:left w:val="none" w:sz="0" w:space="0" w:color="auto"/>
        <w:bottom w:val="none" w:sz="0" w:space="0" w:color="auto"/>
        <w:right w:val="none" w:sz="0" w:space="0" w:color="auto"/>
      </w:divBdr>
    </w:div>
    <w:div w:id="2039235345">
      <w:bodyDiv w:val="1"/>
      <w:marLeft w:val="0"/>
      <w:marRight w:val="0"/>
      <w:marTop w:val="0"/>
      <w:marBottom w:val="0"/>
      <w:divBdr>
        <w:top w:val="none" w:sz="0" w:space="0" w:color="auto"/>
        <w:left w:val="none" w:sz="0" w:space="0" w:color="auto"/>
        <w:bottom w:val="none" w:sz="0" w:space="0" w:color="auto"/>
        <w:right w:val="none" w:sz="0" w:space="0" w:color="auto"/>
      </w:divBdr>
    </w:div>
    <w:div w:id="2070885398">
      <w:bodyDiv w:val="1"/>
      <w:marLeft w:val="0"/>
      <w:marRight w:val="0"/>
      <w:marTop w:val="0"/>
      <w:marBottom w:val="0"/>
      <w:divBdr>
        <w:top w:val="none" w:sz="0" w:space="0" w:color="auto"/>
        <w:left w:val="none" w:sz="0" w:space="0" w:color="auto"/>
        <w:bottom w:val="none" w:sz="0" w:space="0" w:color="auto"/>
        <w:right w:val="none" w:sz="0" w:space="0" w:color="auto"/>
      </w:divBdr>
    </w:div>
    <w:div w:id="2081173234">
      <w:bodyDiv w:val="1"/>
      <w:marLeft w:val="0"/>
      <w:marRight w:val="0"/>
      <w:marTop w:val="0"/>
      <w:marBottom w:val="0"/>
      <w:divBdr>
        <w:top w:val="none" w:sz="0" w:space="0" w:color="auto"/>
        <w:left w:val="none" w:sz="0" w:space="0" w:color="auto"/>
        <w:bottom w:val="none" w:sz="0" w:space="0" w:color="auto"/>
        <w:right w:val="none" w:sz="0" w:space="0" w:color="auto"/>
      </w:divBdr>
    </w:div>
    <w:div w:id="2091273904">
      <w:bodyDiv w:val="1"/>
      <w:marLeft w:val="0"/>
      <w:marRight w:val="0"/>
      <w:marTop w:val="0"/>
      <w:marBottom w:val="0"/>
      <w:divBdr>
        <w:top w:val="none" w:sz="0" w:space="0" w:color="auto"/>
        <w:left w:val="none" w:sz="0" w:space="0" w:color="auto"/>
        <w:bottom w:val="none" w:sz="0" w:space="0" w:color="auto"/>
        <w:right w:val="none" w:sz="0" w:space="0" w:color="auto"/>
      </w:divBdr>
    </w:div>
    <w:div w:id="2099058929">
      <w:bodyDiv w:val="1"/>
      <w:marLeft w:val="0"/>
      <w:marRight w:val="0"/>
      <w:marTop w:val="0"/>
      <w:marBottom w:val="0"/>
      <w:divBdr>
        <w:top w:val="none" w:sz="0" w:space="0" w:color="auto"/>
        <w:left w:val="none" w:sz="0" w:space="0" w:color="auto"/>
        <w:bottom w:val="none" w:sz="0" w:space="0" w:color="auto"/>
        <w:right w:val="none" w:sz="0" w:space="0" w:color="auto"/>
      </w:divBdr>
    </w:div>
    <w:div w:id="21307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2.xml"/><Relationship Id="rId21" Type="http://schemas.openxmlformats.org/officeDocument/2006/relationships/image" Target="media/image4.png"/><Relationship Id="rId42" Type="http://schemas.openxmlformats.org/officeDocument/2006/relationships/hyperlink" Target="https://www.google.com/search?q=EPS&amp;rlz=1C1GCEA_esCO1201CO1201&amp;biw=1707&amp;bih=791&amp;sca_esv=08d8e4cc01a975f8&amp;ei=ANaYaaC0Ibqe5NoPq4Tk4Qo&amp;ved=2ahUKEwiT68LxhemSAxWdNmIAHfIwIjAQgK4QegQIAhAB&amp;uact=5&amp;oq=en+salud+que+es+EPS+IPS+EAPB&amp;gs_lp=Egxnd3Mtd2l6LXNlcnAiHGVuIHNhbHVkIHF1ZSBlcyBFUFMgSVBTIEVBUEIyBRAhGKABMgUQIRigAUi0IlCBBljZHnACeAGQAQCYAfcBoAHiD6oBBjAuMTIuMbgBA8gBAPgBAZgCD6ACxRDCAgoQABiwAxjWBBhHwgIGEAAYFhgewgIIEAAYFhgKGB7CAgUQABjvBcICCBAAGIAEGKIEwgIEECEYFcICBRAhGJ8FmAMAiAYBkAYIkgcGMi4xMS4yoAeNLLIHBjAuMTEuMrgHuxDCBwUxLjUuOcgHOIAIAA&amp;sclient=gws-wiz-serp&amp;mstk=AUtExfBcYkKvBI2wdAD926BjCpzxSjc_vv7fVAGGxS83mpMgTnEtdJCZO1GtJs_libJ9loO5Tzzt-3TFk1XmzTMsnhzutz6rzIfl9RpzzBEBENKplF87F3juT_Pxz5Kcrjrau1U&amp;csui=3" TargetMode="External"/><Relationship Id="rId47" Type="http://schemas.openxmlformats.org/officeDocument/2006/relationships/hyperlink" Target="https://www.secretariasenado.gov.co/senado/basedoc/ley_0715_2001.html" TargetMode="External"/><Relationship Id="rId63" Type="http://schemas.openxmlformats.org/officeDocument/2006/relationships/hyperlink" Target="https://docs.supersalud.gov.co/PortalWeb/metodologias/OtrosDocumentosMetodologias/Abec%C3%A9%20reporte%20PQRD.pdf?utm_source=chatgpt.com"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ublic.tableau.com/app/profile/minsaludcol/viz/CifrasAseguramientoenSalud_16166927767750/Aseguramiento" TargetMode="External"/><Relationship Id="rId29" Type="http://schemas.openxmlformats.org/officeDocument/2006/relationships/hyperlink" Target="https://coosalud.com/centros-de-atencion-contributivo/" TargetMode="External"/><Relationship Id="rId11" Type="http://schemas.openxmlformats.org/officeDocument/2006/relationships/image" Target="media/image1.png"/><Relationship Id="rId24" Type="http://schemas.openxmlformats.org/officeDocument/2006/relationships/hyperlink" Target="https://public.tableau.com/app/profile/minsaludcol/viz/CifrasAseguramientoenSalud_16166927767750/Aseguramiento" TargetMode="External"/><Relationship Id="rId32" Type="http://schemas.openxmlformats.org/officeDocument/2006/relationships/hyperlink" Target="https://mapas.supersalud.gov.co/arcgisportal/apps/sites/#/datos-abiertos/documents/760d95890d79460da9715b83b9d27933/about" TargetMode="External"/><Relationship Id="rId37" Type="http://schemas.openxmlformats.org/officeDocument/2006/relationships/hyperlink" Target="https://mapas.supersalud.gov.co/arcgisportal/apps/sites/#/datos-abiertos/documents/760d95890d79460da9715b83b9d27933/about" TargetMode="External"/><Relationship Id="rId40" Type="http://schemas.openxmlformats.org/officeDocument/2006/relationships/chart" Target="charts/chart9.xml"/><Relationship Id="rId45" Type="http://schemas.openxmlformats.org/officeDocument/2006/relationships/hyperlink" Target="https://servicios.adres.gov.co/BDUA/Consulta-Afiliados-BDUA" TargetMode="External"/><Relationship Id="rId53" Type="http://schemas.openxmlformats.org/officeDocument/2006/relationships/hyperlink" Target="https://www.dane.gov.co/index.php/estadisticas-por-tema/demografia-y-poblacion/proyecciones-de-poblacion" TargetMode="External"/><Relationship Id="rId58" Type="http://schemas.openxmlformats.org/officeDocument/2006/relationships/hyperlink" Target="https://www.suin-juriscol.gov.co/viewDocument.asp?ruta=Decretos/30021559" TargetMode="External"/><Relationship Id="rId66"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s://www.saludcapital.gov.co/Paginas2/Noticia_Portal_Detalle.aspx?IP=2507" TargetMode="External"/><Relationship Id="rId19" Type="http://schemas.openxmlformats.org/officeDocument/2006/relationships/image" Target="media/image3.png"/><Relationship Id="rId14" Type="http://schemas.openxmlformats.org/officeDocument/2006/relationships/hyperlink" Target="https://public.tableau.com/app/profile/minsaludcol/viz/CifrasAseguramientoenSalud_16166927767750/Aseguramiento" TargetMode="External"/><Relationship Id="rId22" Type="http://schemas.openxmlformats.org/officeDocument/2006/relationships/image" Target="media/image5.png"/><Relationship Id="rId27" Type="http://schemas.openxmlformats.org/officeDocument/2006/relationships/hyperlink" Target="https://app.powerbi.com/view?r=eyJrIjoiYTMwY2Y4ZjEtNWI0MC00YjAxLThjOGUtMjdiYWZhZjVlZjgzIiwidCI6IjE3YzQwYzUxLWIxZGYtNGUyNS04Y2Q2LTlkMGQyNjc4ODMwMCIsImMiOjR9&amp;disablecdnExpiration=1774397302" TargetMode="External"/><Relationship Id="rId30" Type="http://schemas.openxmlformats.org/officeDocument/2006/relationships/hyperlink" Target="https://mapas.supersalud.gov.co/arcgisportal/apps/sites/#/datos-abiertos/documents/760d95890d79460da9715b83b9d27933/about" TargetMode="External"/><Relationship Id="rId35" Type="http://schemas.openxmlformats.org/officeDocument/2006/relationships/hyperlink" Target="https://mapas.supersalud.gov.co/arcgisportal/apps/sites/#/datos-abiertos/documents/760d95890d79460da9715b83b9d27933/about" TargetMode="External"/><Relationship Id="rId43" Type="http://schemas.openxmlformats.org/officeDocument/2006/relationships/hyperlink" Target="https://www.google.com/search?q=EAPB&amp;rlz=1C1GCEA_esCO1201CO1201&amp;biw=1707&amp;bih=791&amp;sca_esv=08d8e4cc01a975f8&amp;ei=ANaYaaC0Ibqe5NoPq4Tk4Qo&amp;ved=2ahUKEwiT68LxhemSAxWdNmIAHfIwIjAQgK4QegQIAhAF&amp;uact=5&amp;oq=en+salud+que+es+EPS+IPS+EAPB&amp;gs_lp=Egxnd3Mtd2l6LXNlcnAiHGVuIHNhbHVkIHF1ZSBlcyBFUFMgSVBTIEVBUEIyBRAhGKABMgUQIRigAUi0IlCBBljZHnACeAGQAQCYAfcBoAHiD6oBBjAuMTIuMbgBA8gBAPgBAZgCD6ACxRDCAgoQABiwAxjWBBhHwgIGEAAYFhgewgIIEAAYFhgKGB7CAgUQABjvBcICCBAAGIAEGKIEwgIEECEYFcICBRAhGJ8FmAMAiAYBkAYIkgcGMi4xMS4yoAeNLLIHBjAuMTEuMrgHuxDCBwUxLjUuOcgHOIAIAA&amp;sclient=gws-wiz-serp&amp;mstk=AUtExfBcYkKvBI2wdAD926BjCpzxSjc_vv7fVAGGxS83mpMgTnEtdJCZO1GtJs_libJ9loO5Tzzt-3TFk1XmzTMsnhzutz6rzIfl9RpzzBEBENKplF87F3juT_Pxz5Kcrjrau1U&amp;csui=3" TargetMode="External"/><Relationship Id="rId48" Type="http://schemas.openxmlformats.org/officeDocument/2006/relationships/hyperlink" Target="https://www.secretariasenado.gov.co/senado/basedoc/ley_1122_2007.html" TargetMode="External"/><Relationship Id="rId56" Type="http://schemas.openxmlformats.org/officeDocument/2006/relationships/hyperlink" Target="https://public.tableau.com/app/profile/minsaludcol/viz/CifrasAseguramientoenSalud_16166927767750/Aseguramiento" TargetMode="External"/><Relationship Id="rId64" Type="http://schemas.openxmlformats.org/officeDocument/2006/relationships/hyperlink" Target="https://app.powerbi.com/view?r=eyJrIjoiYTMwY2Y4ZjEtNWI0MC00YjAxLThjOGUtMjdiYWZhZjVlZjgzIiwidCI6IjE3YzQwYzUxLWIxZGYtNGUyNS04Y2Q2LTlkMGQyNjc4ODMwMCIsImMiOjR9&amp;disablecdnExpiration=1774397302" TargetMode="External"/><Relationship Id="rId69" Type="http://schemas.microsoft.com/office/2020/10/relationships/intelligence" Target="intelligence2.xml"/><Relationship Id="rId8" Type="http://schemas.openxmlformats.org/officeDocument/2006/relationships/webSettings" Target="webSettings.xml"/><Relationship Id="rId51" Type="http://schemas.openxmlformats.org/officeDocument/2006/relationships/hyperlink" Target="https://www.secretariasenado.gov.co/senado/basedoc/ley_1751_2015.html" TargetMode="External"/><Relationship Id="rId3" Type="http://schemas.openxmlformats.org/officeDocument/2006/relationships/customXml" Target="../customXml/item3.xml"/><Relationship Id="rId12" Type="http://schemas.openxmlformats.org/officeDocument/2006/relationships/hyperlink" Target="https://public.tableau.com/app/profile/minsaludcol/viz/CifrasAseguramientoenSalud_16166927767750/Aseguramiento" TargetMode="External"/><Relationship Id="rId17" Type="http://schemas.openxmlformats.org/officeDocument/2006/relationships/image" Target="media/image2.png"/><Relationship Id="rId25" Type="http://schemas.openxmlformats.org/officeDocument/2006/relationships/hyperlink" Target="https://www.minsalud.gov.co/proteccionsocial/Paginas/cifras-aseguramiento-salud.aspx" TargetMode="External"/><Relationship Id="rId33" Type="http://schemas.openxmlformats.org/officeDocument/2006/relationships/chart" Target="charts/chart5.xml"/><Relationship Id="rId38" Type="http://schemas.openxmlformats.org/officeDocument/2006/relationships/chart" Target="charts/chart8.xml"/><Relationship Id="rId46" Type="http://schemas.openxmlformats.org/officeDocument/2006/relationships/hyperlink" Target="https://www.secretariasenado.gov.co/senado/basedoc/ley_0100_1993.html" TargetMode="External"/><Relationship Id="rId59" Type="http://schemas.openxmlformats.org/officeDocument/2006/relationships/hyperlink" Target="https://www.alcaldiabogota.gov.co/sisjur/normas/Norma1.jsp?i=190983" TargetMode="External"/><Relationship Id="rId67" Type="http://schemas.openxmlformats.org/officeDocument/2006/relationships/fontTable" Target="fontTable.xml"/><Relationship Id="rId20" Type="http://schemas.microsoft.com/office/2007/relationships/hdphoto" Target="media/hdphoto2.wdp"/><Relationship Id="rId41" Type="http://schemas.openxmlformats.org/officeDocument/2006/relationships/hyperlink" Target="https://mapas.supersalud.gov.co/arcgisportal/apps/sites/#/datos-abiertos/documents/760d95890d79460da9715b83b9d27933/about" TargetMode="External"/><Relationship Id="rId54" Type="http://schemas.openxmlformats.org/officeDocument/2006/relationships/hyperlink" Target="https://www.minsalud.gov.co/sites/rid/lists/bibliotecadigital/ride/de/dij/resolucion-3280-de-2018.pdf" TargetMode="External"/><Relationship Id="rId62" Type="http://schemas.openxmlformats.org/officeDocument/2006/relationships/hyperlink" Target="https://www.alcaldiabogota.gov.co/sisjur/normas/Norma1.jsp?i=143808"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chart" Target="charts/chart1.xml"/><Relationship Id="rId23" Type="http://schemas.openxmlformats.org/officeDocument/2006/relationships/hyperlink" Target="https://www.minsalud.gov.co/proteccionsocial/paginas/cifras-aseguramiento-salud.aspx" TargetMode="External"/><Relationship Id="rId28" Type="http://schemas.openxmlformats.org/officeDocument/2006/relationships/chart" Target="charts/chart3.xml"/><Relationship Id="rId36" Type="http://schemas.openxmlformats.org/officeDocument/2006/relationships/chart" Target="charts/chart7.xml"/><Relationship Id="rId49" Type="http://schemas.openxmlformats.org/officeDocument/2006/relationships/hyperlink" Target="https://www.alcaldiabogota.gov.co/sisjur/normas/Norma1.jsp?i=41249" TargetMode="External"/><Relationship Id="rId57" Type="http://schemas.openxmlformats.org/officeDocument/2006/relationships/hyperlink" Target="https://www.funcionpublica.gov.co/eva/gestornormativo/norma.php?i=45322" TargetMode="External"/><Relationship Id="rId10" Type="http://schemas.openxmlformats.org/officeDocument/2006/relationships/endnotes" Target="endnotes.xml"/><Relationship Id="rId31" Type="http://schemas.openxmlformats.org/officeDocument/2006/relationships/chart" Target="charts/chart4.xml"/><Relationship Id="rId44" Type="http://schemas.openxmlformats.org/officeDocument/2006/relationships/hyperlink" Target="https://consultorsalud.com/lineamientos-para-el-calculo-del-capital-minimo-en-salud/" TargetMode="External"/><Relationship Id="rId52" Type="http://schemas.openxmlformats.org/officeDocument/2006/relationships/hyperlink" Target="https://www.alcaldiabogota.gov.co/sisjur/normas/Norma1.jsp?i=62152" TargetMode="External"/><Relationship Id="rId60" Type="http://schemas.openxmlformats.org/officeDocument/2006/relationships/hyperlink" Target="https://www.saludcapital.gov.co/DCRUE/paginas/informacion_crue.aspx" TargetMode="External"/><Relationship Id="rId65" Type="http://schemas.openxmlformats.org/officeDocument/2006/relationships/hyperlink" Target="https://mapas.supersalud.gov.co/arcgisportal/apps/site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lic.tableau.com/app/profile/minsaludcol/viz/CifrasAseguramientoenSalud_16166927767750/Aseguramiento" TargetMode="External"/><Relationship Id="rId18" Type="http://schemas.microsoft.com/office/2007/relationships/hdphoto" Target="media/hdphoto1.wdp"/><Relationship Id="rId39" Type="http://schemas.openxmlformats.org/officeDocument/2006/relationships/hyperlink" Target="https://mapas.supersalud.gov.co/arcgisportal/apps/sites/#/datos-abiertos/documents/760d95890d79460da9715b83b9d27933/about" TargetMode="External"/><Relationship Id="rId34" Type="http://schemas.openxmlformats.org/officeDocument/2006/relationships/chart" Target="charts/chart6.xml"/><Relationship Id="rId50" Type="http://schemas.openxmlformats.org/officeDocument/2006/relationships/hyperlink" Target="https://www.secretariasenado.gov.co/senado/basedoc/ley_1438_2011.html" TargetMode="External"/><Relationship Id="rId55" Type="http://schemas.openxmlformats.org/officeDocument/2006/relationships/hyperlink" Target="https://www.minsalud.gov.co/proteccionsocial/paginas/cifras-aseguramiento-salud.asp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saludcapital.gov.co/DCRUE/paginas/informacion_crue.aspx" TargetMode="External"/><Relationship Id="rId2" Type="http://schemas.openxmlformats.org/officeDocument/2006/relationships/hyperlink" Target="https://www.saludcapital.gov.co/Paginas2/Noticia_Portal_Detalle.aspx?IP=2507" TargetMode="External"/><Relationship Id="rId1" Type="http://schemas.openxmlformats.org/officeDocument/2006/relationships/hyperlink" Target="https://docs.supersalud.gov.co/PortalWeb/metodologias/OtrosDocumentosMetodologias/Abec%C3%A9%20reporte%20PQRD.pdf" TargetMode="External"/><Relationship Id="rId5" Type="http://schemas.openxmlformats.org/officeDocument/2006/relationships/hyperlink" Target="https://www.saludcapital.gov.co/Salud_info/Proy_salud_materno.pdf" TargetMode="External"/><Relationship Id="rId4" Type="http://schemas.openxmlformats.org/officeDocument/2006/relationships/hyperlink" Target="https://anmdecolombia.org.co/el-secretario-distrital-de-salud-responde-en-la-academia-a-temas-coyunturales-sobre-salud-en-la-capi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Acer\Desktop\Documentos%20Contrato%20Secretaria%20de%20Salud\INSUMOS%20PARA%20INFORME%20COOSALUD\Afiliados%20Bogota%20Coosalud%20y%20grafico.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cer\Desktop\Documentos%20Contrato%20Secretaria%20de%20Salud\INSUMOS%20PARA%20INFORME%20COOSALUD\Tasa%20reclamos%2012%20meses%20EPS%20Coosalud%20en%20Bogota%20descargada%20el%206%20de%20mayo%20del%20202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Asus\Desktop\Formatos%20calidad\HOSPITAL%20UNIVERSITARIO%20SAN%20JUAN%20DE%20DIOS\Ejecucion%20contractual\Mayo%20de%202026\Cl&#237;nica%20Onkos\graficas%20coosalud.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MAYO%202026\Coosalud\Graficas%20coosalud.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MAYO%202026\Coosalud\Consolidacion%20de%20bases%20de%20datos%20de%20analisis%20financiero%20coosalud.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MAYO%202026\Coosalud\Consolidacion%20de%20bases%20de%20datos%20de%20analisis%20financiero%20coosalud.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MAYO%202026\Coosalud\Consolidacion%20de%20bases%20de%20datos%20de%20analisis%20financiero%20coosalud.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MAYO%202026\Coosalud\endeudamiento_coosalud_excel.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MAYO%202026\Coosalud\grafica_excel_porcentaje%20sinistralida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'Afiliados Bogota Coosalud'!$B$1</c:f>
              <c:strCache>
                <c:ptCount val="1"/>
                <c:pt idx="0">
                  <c:v>Contributivo </c:v>
                </c:pt>
              </c:strCache>
            </c:strRef>
          </c:tx>
          <c:spPr>
            <a:ln w="28575" cap="rnd">
              <a:solidFill>
                <a:schemeClr val="tx2"/>
              </a:solidFill>
              <a:round/>
              <a:tailEnd type="arrow"/>
            </a:ln>
            <a:effectLst/>
          </c:spPr>
          <c:marker>
            <c:symbol val="diamond"/>
            <c:size val="5"/>
            <c:spPr>
              <a:solidFill>
                <a:schemeClr val="bg1">
                  <a:lumMod val="75000"/>
                </a:schemeClr>
              </a:solidFill>
              <a:ln w="9525">
                <a:solidFill>
                  <a:schemeClr val="accent1"/>
                </a:solidFill>
              </a:ln>
              <a:effectLst/>
            </c:spPr>
          </c:marker>
          <c:dLbls>
            <c:dLbl>
              <c:idx val="4"/>
              <c:spPr>
                <a:noFill/>
                <a:ln>
                  <a:noFill/>
                </a:ln>
                <a:effectLst/>
              </c:spPr>
              <c:txPr>
                <a:bodyPr rot="0" spcFirstLastPara="1" vertOverflow="ellipsis" vert="horz" wrap="square" anchor="ctr" anchorCtr="1"/>
                <a:lstStyle/>
                <a:p>
                  <a:pPr>
                    <a:defRPr sz="12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3-568F-4648-8E30-F6E47FD611F4}"/>
                </c:ext>
              </c:extLst>
            </c:dLbl>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'Afiliados Bogota Coosalud'!$A$2:$A$6</c:f>
              <c:numCache>
                <c:formatCode>General</c:formatCode>
                <c:ptCount val="5"/>
                <c:pt idx="0">
                  <c:v>2021</c:v>
                </c:pt>
                <c:pt idx="1">
                  <c:v>2022</c:v>
                </c:pt>
                <c:pt idx="2">
                  <c:v>2023</c:v>
                </c:pt>
                <c:pt idx="3">
                  <c:v>2024</c:v>
                </c:pt>
                <c:pt idx="4">
                  <c:v>2025</c:v>
                </c:pt>
              </c:numCache>
            </c:numRef>
          </c:cat>
          <c:val>
            <c:numRef>
              <c:f>'Afiliados Bogota Coosalud'!$B$2:$B$6</c:f>
              <c:numCache>
                <c:formatCode>#,##0</c:formatCode>
                <c:ptCount val="5"/>
                <c:pt idx="0">
                  <c:v>4890</c:v>
                </c:pt>
                <c:pt idx="1">
                  <c:v>9169</c:v>
                </c:pt>
                <c:pt idx="2">
                  <c:v>7281</c:v>
                </c:pt>
                <c:pt idx="3">
                  <c:v>7293</c:v>
                </c:pt>
                <c:pt idx="4">
                  <c:v>7002</c:v>
                </c:pt>
              </c:numCache>
            </c:numRef>
          </c:val>
          <c:smooth val="0"/>
          <c:extLst>
            <c:ext xmlns:c16="http://schemas.microsoft.com/office/drawing/2014/chart" uri="{C3380CC4-5D6E-409C-BE32-E72D297353CC}">
              <c16:uniqueId val="{00000000-568F-4648-8E30-F6E47FD611F4}"/>
            </c:ext>
          </c:extLst>
        </c:ser>
        <c:ser>
          <c:idx val="1"/>
          <c:order val="1"/>
          <c:tx>
            <c:strRef>
              <c:f>'Afiliados Bogota Coosalud'!$C$1</c:f>
              <c:strCache>
                <c:ptCount val="1"/>
                <c:pt idx="0">
                  <c:v>Subsidiado </c:v>
                </c:pt>
              </c:strCache>
            </c:strRef>
          </c:tx>
          <c:spPr>
            <a:ln w="28575" cap="rnd">
              <a:solidFill>
                <a:schemeClr val="accent2"/>
              </a:solidFill>
              <a:round/>
              <a:tailEnd type="arrow"/>
            </a:ln>
            <a:effectLst/>
          </c:spPr>
          <c:marker>
            <c:symbol val="diamond"/>
            <c:size val="7"/>
            <c:spPr>
              <a:solidFill>
                <a:schemeClr val="bg1">
                  <a:lumMod val="75000"/>
                </a:schemeClr>
              </a:solidFill>
              <a:ln w="9525">
                <a:solidFill>
                  <a:schemeClr val="accent2"/>
                </a:solidFill>
              </a:ln>
              <a:effectLst/>
            </c:spPr>
          </c:marker>
          <c:dLbls>
            <c:dLbl>
              <c:idx val="4"/>
              <c:spPr>
                <a:noFill/>
                <a:ln>
                  <a:noFill/>
                </a:ln>
                <a:effectLst/>
              </c:spPr>
              <c:txPr>
                <a:bodyPr rot="0" spcFirstLastPara="1" vertOverflow="ellipsis" vert="horz" wrap="square" anchor="ctr" anchorCtr="1"/>
                <a:lstStyle/>
                <a:p>
                  <a:pPr>
                    <a:defRPr sz="12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2-568F-4648-8E30-F6E47FD611F4}"/>
                </c:ext>
              </c:extLst>
            </c:dLbl>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'Afiliados Bogota Coosalud'!$A$2:$A$6</c:f>
              <c:numCache>
                <c:formatCode>General</c:formatCode>
                <c:ptCount val="5"/>
                <c:pt idx="0">
                  <c:v>2021</c:v>
                </c:pt>
                <c:pt idx="1">
                  <c:v>2022</c:v>
                </c:pt>
                <c:pt idx="2">
                  <c:v>2023</c:v>
                </c:pt>
                <c:pt idx="3">
                  <c:v>2024</c:v>
                </c:pt>
                <c:pt idx="4">
                  <c:v>2025</c:v>
                </c:pt>
              </c:numCache>
            </c:numRef>
          </c:cat>
          <c:val>
            <c:numRef>
              <c:f>'Afiliados Bogota Coosalud'!$C$2:$C$6</c:f>
              <c:numCache>
                <c:formatCode>#,##0</c:formatCode>
                <c:ptCount val="5"/>
                <c:pt idx="0">
                  <c:v>13681</c:v>
                </c:pt>
                <c:pt idx="1">
                  <c:v>27065</c:v>
                </c:pt>
                <c:pt idx="2">
                  <c:v>23726</c:v>
                </c:pt>
                <c:pt idx="3">
                  <c:v>28078</c:v>
                </c:pt>
                <c:pt idx="4">
                  <c:v>27470</c:v>
                </c:pt>
              </c:numCache>
            </c:numRef>
          </c:val>
          <c:smooth val="0"/>
          <c:extLst>
            <c:ext xmlns:c16="http://schemas.microsoft.com/office/drawing/2014/chart" uri="{C3380CC4-5D6E-409C-BE32-E72D297353CC}">
              <c16:uniqueId val="{00000001-568F-4648-8E30-F6E47FD611F4}"/>
            </c:ext>
          </c:extLst>
        </c:ser>
        <c:dLbls>
          <c:showLegendKey val="0"/>
          <c:showVal val="0"/>
          <c:showCatName val="0"/>
          <c:showSerName val="0"/>
          <c:showPercent val="0"/>
          <c:showBubbleSize val="0"/>
        </c:dLbls>
        <c:marker val="1"/>
        <c:smooth val="0"/>
        <c:axId val="644576144"/>
        <c:axId val="644569616"/>
      </c:lineChart>
      <c:catAx>
        <c:axId val="644576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644569616"/>
        <c:crosses val="autoZero"/>
        <c:auto val="1"/>
        <c:lblAlgn val="ctr"/>
        <c:lblOffset val="100"/>
        <c:noMultiLvlLbl val="0"/>
      </c:catAx>
      <c:valAx>
        <c:axId val="644569616"/>
        <c:scaling>
          <c:orientation val="minMax"/>
        </c:scaling>
        <c:delete val="1"/>
        <c:axPos val="l"/>
        <c:numFmt formatCode="#,##0" sourceLinked="1"/>
        <c:majorTickMark val="none"/>
        <c:minorTickMark val="none"/>
        <c:tickLblPos val="nextTo"/>
        <c:crossAx val="6445761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legend>
    <c:plotVisOnly val="1"/>
    <c:dispBlanksAs val="gap"/>
    <c:showDLblsOverMax val="0"/>
  </c:chart>
  <c:spPr>
    <a:solidFill>
      <a:schemeClr val="bg1"/>
    </a:solidFill>
    <a:ln w="9525" cap="flat" cmpd="sng" algn="ctr">
      <a:noFill/>
      <a:round/>
    </a:ln>
    <a:effectLst/>
  </c:spPr>
  <c:txPr>
    <a:bodyPr/>
    <a:lstStyle/>
    <a:p>
      <a:pPr>
        <a:defRPr sz="1100">
          <a:latin typeface="Arial" panose="020B0604020202020204" pitchFamily="34" charset="0"/>
          <a:cs typeface="Arial" panose="020B0604020202020204" pitchFamily="34" charset="0"/>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rgbClr val="C00000"/>
              </a:solidFill>
              <a:round/>
              <a:tailEnd type="arrow"/>
            </a:ln>
            <a:effectLst/>
          </c:spPr>
          <c:marker>
            <c:symbol val="diamond"/>
            <c:size val="10"/>
            <c:spPr>
              <a:solidFill>
                <a:schemeClr val="accent1"/>
              </a:solidFill>
              <a:ln w="9525">
                <a:solidFill>
                  <a:schemeClr val="accent1"/>
                </a:solidFill>
              </a:ln>
              <a:effectLst/>
            </c:spPr>
          </c:marker>
          <c:dLbls>
            <c:dLbl>
              <c:idx val="0"/>
              <c:layout>
                <c:manualLayout>
                  <c:x val="0"/>
                  <c:y val="0.111111111111111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FA0-43AF-AD12-AC7C039A13DE}"/>
                </c:ext>
              </c:extLst>
            </c:dLbl>
            <c:dLbl>
              <c:idx val="1"/>
              <c:layout>
                <c:manualLayout>
                  <c:x val="-5.5555555555556061E-3"/>
                  <c:y val="8.33333333333333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FA0-43AF-AD12-AC7C039A13DE}"/>
                </c:ext>
              </c:extLst>
            </c:dLbl>
            <c:dLbl>
              <c:idx val="2"/>
              <c:layout>
                <c:manualLayout>
                  <c:x val="1.1111111111111112E-2"/>
                  <c:y val="4.16666666666666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FA0-43AF-AD12-AC7C039A13DE}"/>
                </c:ext>
              </c:extLst>
            </c:dLbl>
            <c:dLbl>
              <c:idx val="3"/>
              <c:layout>
                <c:manualLayout>
                  <c:x val="8.3333333333334356E-3"/>
                  <c:y val="1.85185185185184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FA0-43AF-AD12-AC7C039A13DE}"/>
                </c:ext>
              </c:extLst>
            </c:dLbl>
            <c:dLbl>
              <c:idx val="4"/>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showLegendKey val="0"/>
              <c:showVal val="1"/>
              <c:showCatName val="0"/>
              <c:showSerName val="0"/>
              <c:showPercent val="0"/>
              <c:showBubbleSize val="0"/>
              <c:extLst>
                <c:ext xmlns:c16="http://schemas.microsoft.com/office/drawing/2014/chart" uri="{C3380CC4-5D6E-409C-BE32-E72D297353CC}">
                  <c16:uniqueId val="{00000005-8FA0-43AF-AD12-AC7C039A13DE}"/>
                </c:ext>
              </c:extLst>
            </c:dLbl>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'[Tasa reclamos 12 meses EPS Coosalud en Bogota descargada el 6 de mayo del 2026.xlsx]Tasa reclamos 2021-2025'!$A$2:$A$6</c:f>
              <c:numCache>
                <c:formatCode>General</c:formatCode>
                <c:ptCount val="5"/>
                <c:pt idx="0">
                  <c:v>2021</c:v>
                </c:pt>
                <c:pt idx="1">
                  <c:v>2022</c:v>
                </c:pt>
                <c:pt idx="2">
                  <c:v>2023</c:v>
                </c:pt>
                <c:pt idx="3">
                  <c:v>2024</c:v>
                </c:pt>
                <c:pt idx="4">
                  <c:v>2025</c:v>
                </c:pt>
              </c:numCache>
            </c:numRef>
          </c:cat>
          <c:val>
            <c:numRef>
              <c:f>'[Tasa reclamos 12 meses EPS Coosalud en Bogota descargada el 6 de mayo del 2026.xlsx]Tasa reclamos 2021-2025'!$B$2:$B$6</c:f>
              <c:numCache>
                <c:formatCode>General</c:formatCode>
                <c:ptCount val="5"/>
                <c:pt idx="0">
                  <c:v>325.26</c:v>
                </c:pt>
                <c:pt idx="1">
                  <c:v>316.08999999999997</c:v>
                </c:pt>
                <c:pt idx="2">
                  <c:v>302.82</c:v>
                </c:pt>
                <c:pt idx="3">
                  <c:v>411.82</c:v>
                </c:pt>
                <c:pt idx="4">
                  <c:v>502.9</c:v>
                </c:pt>
              </c:numCache>
            </c:numRef>
          </c:val>
          <c:smooth val="0"/>
          <c:extLst>
            <c:ext xmlns:c16="http://schemas.microsoft.com/office/drawing/2014/chart" uri="{C3380CC4-5D6E-409C-BE32-E72D297353CC}">
              <c16:uniqueId val="{00000004-8FA0-43AF-AD12-AC7C039A13DE}"/>
            </c:ext>
          </c:extLst>
        </c:ser>
        <c:dLbls>
          <c:showLegendKey val="0"/>
          <c:showVal val="0"/>
          <c:showCatName val="0"/>
          <c:showSerName val="0"/>
          <c:showPercent val="0"/>
          <c:showBubbleSize val="0"/>
        </c:dLbls>
        <c:marker val="1"/>
        <c:smooth val="0"/>
        <c:axId val="644567440"/>
        <c:axId val="644582128"/>
      </c:lineChart>
      <c:catAx>
        <c:axId val="644567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644582128"/>
        <c:crosses val="autoZero"/>
        <c:auto val="1"/>
        <c:lblAlgn val="ctr"/>
        <c:lblOffset val="100"/>
        <c:noMultiLvlLbl val="0"/>
      </c:catAx>
      <c:valAx>
        <c:axId val="644582128"/>
        <c:scaling>
          <c:orientation val="minMax"/>
        </c:scaling>
        <c:delete val="1"/>
        <c:axPos val="l"/>
        <c:numFmt formatCode="General" sourceLinked="1"/>
        <c:majorTickMark val="none"/>
        <c:minorTickMark val="none"/>
        <c:tickLblPos val="nextTo"/>
        <c:crossAx val="64456744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100">
          <a:solidFill>
            <a:sysClr val="windowText" lastClr="000000"/>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Días hábiles</c:v>
          </c:tx>
          <c:spPr>
            <a:solidFill>
              <a:srgbClr val="4472C4"/>
            </a:solidFill>
            <a:ln w="12700" cap="flat" cmpd="sng" algn="ctr">
              <a:solidFill>
                <a:schemeClr val="accent5">
                  <a:shade val="15000"/>
                </a:schemeClr>
              </a:solidFill>
              <a:prstDash val="solid"/>
              <a:miter lim="800000"/>
            </a:ln>
            <a:effectLst/>
          </c:spPr>
          <c:invertIfNegative val="1"/>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'Oportunidad respuesta'!$A$2:$A$14</c:f>
              <c:strCache>
                <c:ptCount val="13"/>
                <c:pt idx="0">
                  <c:v>TOTAL PROMEDIO</c:v>
                </c:pt>
                <c:pt idx="1">
                  <c:v>DICIEMBRE</c:v>
                </c:pt>
                <c:pt idx="2">
                  <c:v>NOVIEMBRE</c:v>
                </c:pt>
                <c:pt idx="3">
                  <c:v>OCTUBRE</c:v>
                </c:pt>
                <c:pt idx="4">
                  <c:v>SEPTIEMBRE</c:v>
                </c:pt>
                <c:pt idx="5">
                  <c:v>AGOSTO</c:v>
                </c:pt>
                <c:pt idx="6">
                  <c:v>JULIO</c:v>
                </c:pt>
                <c:pt idx="7">
                  <c:v>JUNIO</c:v>
                </c:pt>
                <c:pt idx="8">
                  <c:v>MAYO</c:v>
                </c:pt>
                <c:pt idx="9">
                  <c:v>ABRIL</c:v>
                </c:pt>
                <c:pt idx="10">
                  <c:v>MARZO</c:v>
                </c:pt>
                <c:pt idx="11">
                  <c:v>FEBRERO</c:v>
                </c:pt>
                <c:pt idx="12">
                  <c:v>ENERO</c:v>
                </c:pt>
              </c:strCache>
            </c:strRef>
          </c:cat>
          <c:val>
            <c:numRef>
              <c:f>'Oportunidad respuesta'!$B$2:$B$14</c:f>
              <c:numCache>
                <c:formatCode>0</c:formatCode>
                <c:ptCount val="13"/>
                <c:pt idx="0">
                  <c:v>29</c:v>
                </c:pt>
                <c:pt idx="1">
                  <c:v>18</c:v>
                </c:pt>
                <c:pt idx="2">
                  <c:v>15</c:v>
                </c:pt>
                <c:pt idx="3">
                  <c:v>15</c:v>
                </c:pt>
                <c:pt idx="4">
                  <c:v>24</c:v>
                </c:pt>
                <c:pt idx="5">
                  <c:v>23</c:v>
                </c:pt>
                <c:pt idx="6">
                  <c:v>29</c:v>
                </c:pt>
                <c:pt idx="7">
                  <c:v>31</c:v>
                </c:pt>
                <c:pt idx="8">
                  <c:v>38</c:v>
                </c:pt>
                <c:pt idx="9">
                  <c:v>40</c:v>
                </c:pt>
                <c:pt idx="10">
                  <c:v>50</c:v>
                </c:pt>
                <c:pt idx="11">
                  <c:v>24</c:v>
                </c:pt>
                <c:pt idx="12">
                  <c:v>45</c:v>
                </c:pt>
              </c:numCache>
            </c:numRef>
          </c:val>
          <c:extLst>
            <c:ext xmlns:c14="http://schemas.microsoft.com/office/drawing/2007/8/2/chart" uri="{6F2FDCE9-48DA-4B69-8628-5D25D57E5C99}">
              <c14:invertSolidFillFmt>
                <c14:spPr xmlns:c14="http://schemas.microsoft.com/office/drawing/2007/8/2/chart">
                  <a:solidFill>
                    <a:srgbClr val="FFFFFF"/>
                  </a:solidFill>
                  <a:ln w="12700" cap="flat" cmpd="sng" algn="ctr">
                    <a:solidFill>
                      <a:schemeClr val="accent5">
                        <a:shade val="15000"/>
                      </a:schemeClr>
                    </a:solidFill>
                    <a:prstDash val="solid"/>
                    <a:miter lim="800000"/>
                  </a:ln>
                  <a:effectLst/>
                </c14:spPr>
              </c14:invertSolidFillFmt>
            </c:ext>
            <c:ext xmlns:c16="http://schemas.microsoft.com/office/drawing/2014/chart" uri="{C3380CC4-5D6E-409C-BE32-E72D297353CC}">
              <c16:uniqueId val="{00000000-7182-47FB-A1D1-FD2A13FD3A23}"/>
            </c:ext>
          </c:extLst>
        </c:ser>
        <c:dLbls>
          <c:showLegendKey val="0"/>
          <c:showVal val="0"/>
          <c:showCatName val="0"/>
          <c:showSerName val="0"/>
          <c:showPercent val="0"/>
          <c:showBubbleSize val="0"/>
        </c:dLbls>
        <c:gapWidth val="150"/>
        <c:axId val="48650112"/>
        <c:axId val="48672768"/>
      </c:barChart>
      <c:catAx>
        <c:axId val="48650112"/>
        <c:scaling>
          <c:orientation val="minMax"/>
        </c:scaling>
        <c:delete val="0"/>
        <c:axPos val="b"/>
        <c:numFmt formatCode="General" sourceLinked="1"/>
        <c:majorTickMark val="none"/>
        <c:minorTickMark val="none"/>
        <c:tickLblPos val="nextTo"/>
        <c:txPr>
          <a:bodyPr/>
          <a:lstStyle/>
          <a:p>
            <a:pPr>
              <a:defRPr sz="500"/>
            </a:pPr>
            <a:endParaRPr lang="es-CO"/>
          </a:p>
        </c:txPr>
        <c:crossAx val="48672768"/>
        <c:crosses val="autoZero"/>
        <c:auto val="1"/>
        <c:lblAlgn val="ctr"/>
        <c:lblOffset val="100"/>
        <c:noMultiLvlLbl val="0"/>
      </c:catAx>
      <c:valAx>
        <c:axId val="48672768"/>
        <c:scaling>
          <c:orientation val="minMax"/>
        </c:scaling>
        <c:delete val="0"/>
        <c:axPos val="l"/>
        <c:numFmt formatCode="0" sourceLinked="1"/>
        <c:majorTickMark val="none"/>
        <c:minorTickMark val="none"/>
        <c:tickLblPos val="nextTo"/>
        <c:crossAx val="48650112"/>
        <c:crosses val="autoZero"/>
        <c:crossBetween val="between"/>
      </c:valAx>
    </c:plotArea>
    <c:plotVisOnly val="1"/>
    <c:dispBlanksAs val="zero"/>
    <c:showDLblsOverMax val="1"/>
  </c:chart>
  <c:spPr>
    <a:ln w="9525">
      <a:noFill/>
      <a:prstDash val="solid"/>
    </a:ln>
  </c:spPr>
  <c:txPr>
    <a:bodyPr/>
    <a:lstStyle/>
    <a:p>
      <a:pPr>
        <a:defRPr sz="1100">
          <a:latin typeface="Arial" panose="020B0604020202020204" pitchFamily="34" charset="0"/>
          <a:cs typeface="Arial" panose="020B0604020202020204" pitchFamily="34" charset="0"/>
        </a:defRPr>
      </a:pPr>
      <a:endParaRPr lang="es-CO"/>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'activos Vs Pasivos'!$A$2</c:f>
              <c:strCache>
                <c:ptCount val="1"/>
                <c:pt idx="0">
                  <c:v>Total activos</c:v>
                </c:pt>
              </c:strCache>
            </c:strRef>
          </c:tx>
          <c:spPr>
            <a:ln w="28575" cap="rnd">
              <a:solidFill>
                <a:schemeClr val="accent1"/>
              </a:solidFill>
              <a:round/>
              <a:tailEnd type="arrow"/>
            </a:ln>
            <a:effectLst/>
          </c:spPr>
          <c:marker>
            <c:symbol val="none"/>
          </c:marker>
          <c:dLbls>
            <c:dLbl>
              <c:idx val="4"/>
              <c:spPr>
                <a:noFill/>
                <a:ln>
                  <a:noFill/>
                </a:ln>
                <a:effectLst/>
              </c:spPr>
              <c:txPr>
                <a:bodyPr rot="0" spcFirstLastPara="1" vertOverflow="ellipsis" vert="horz" wrap="square" anchor="ctr" anchorCtr="1"/>
                <a:lstStyle/>
                <a:p>
                  <a:pPr>
                    <a:defRPr sz="105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b"/>
              <c:showLegendKey val="0"/>
              <c:showVal val="1"/>
              <c:showCatName val="0"/>
              <c:showSerName val="0"/>
              <c:showPercent val="0"/>
              <c:showBubbleSize val="0"/>
              <c:extLst>
                <c:ext xmlns:c16="http://schemas.microsoft.com/office/drawing/2014/chart" uri="{C3380CC4-5D6E-409C-BE32-E72D297353CC}">
                  <c16:uniqueId val="{00000000-8D37-4C0A-9F12-D3BB20FE21D8}"/>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'activos Vs Pasivos'!$B$1:$F$1</c:f>
              <c:numCache>
                <c:formatCode>General</c:formatCode>
                <c:ptCount val="5"/>
                <c:pt idx="0">
                  <c:v>2021</c:v>
                </c:pt>
                <c:pt idx="1">
                  <c:v>2022</c:v>
                </c:pt>
                <c:pt idx="2">
                  <c:v>2023</c:v>
                </c:pt>
                <c:pt idx="3">
                  <c:v>2024</c:v>
                </c:pt>
                <c:pt idx="4">
                  <c:v>2025</c:v>
                </c:pt>
              </c:numCache>
            </c:numRef>
          </c:cat>
          <c:val>
            <c:numRef>
              <c:f>'activos Vs Pasivos'!$B$2:$F$2</c:f>
              <c:numCache>
                <c:formatCode>#,##0</c:formatCode>
                <c:ptCount val="5"/>
                <c:pt idx="0">
                  <c:v>1202468.09806</c:v>
                </c:pt>
                <c:pt idx="1">
                  <c:v>1124036.2179010001</c:v>
                </c:pt>
                <c:pt idx="2">
                  <c:v>1066681.5738540001</c:v>
                </c:pt>
                <c:pt idx="3">
                  <c:v>1942170.42077</c:v>
                </c:pt>
                <c:pt idx="4">
                  <c:v>2916073.28786</c:v>
                </c:pt>
              </c:numCache>
            </c:numRef>
          </c:val>
          <c:smooth val="0"/>
          <c:extLst>
            <c:ext xmlns:c16="http://schemas.microsoft.com/office/drawing/2014/chart" uri="{C3380CC4-5D6E-409C-BE32-E72D297353CC}">
              <c16:uniqueId val="{00000001-8D37-4C0A-9F12-D3BB20FE21D8}"/>
            </c:ext>
          </c:extLst>
        </c:ser>
        <c:ser>
          <c:idx val="1"/>
          <c:order val="1"/>
          <c:tx>
            <c:strRef>
              <c:f>'activos Vs Pasivos'!$A$3</c:f>
              <c:strCache>
                <c:ptCount val="1"/>
                <c:pt idx="0">
                  <c:v>Total pasivos</c:v>
                </c:pt>
              </c:strCache>
            </c:strRef>
          </c:tx>
          <c:spPr>
            <a:ln w="28575" cap="rnd">
              <a:solidFill>
                <a:schemeClr val="accent2"/>
              </a:solidFill>
              <a:round/>
              <a:tailEnd type="arrow"/>
            </a:ln>
            <a:effectLst/>
          </c:spPr>
          <c:marker>
            <c:symbol val="none"/>
          </c:marker>
          <c:dLbls>
            <c:dLbl>
              <c:idx val="4"/>
              <c:spPr>
                <a:noFill/>
                <a:ln>
                  <a:noFill/>
                </a:ln>
                <a:effectLst/>
              </c:spPr>
              <c:txPr>
                <a:bodyPr rot="0" spcFirstLastPara="1" vertOverflow="ellipsis" vert="horz" wrap="square" anchor="ctr" anchorCtr="1"/>
                <a:lstStyle/>
                <a:p>
                  <a:pPr>
                    <a:defRPr sz="105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2-8D37-4C0A-9F12-D3BB20FE21D8}"/>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'activos Vs Pasivos'!$B$1:$F$1</c:f>
              <c:numCache>
                <c:formatCode>General</c:formatCode>
                <c:ptCount val="5"/>
                <c:pt idx="0">
                  <c:v>2021</c:v>
                </c:pt>
                <c:pt idx="1">
                  <c:v>2022</c:v>
                </c:pt>
                <c:pt idx="2">
                  <c:v>2023</c:v>
                </c:pt>
                <c:pt idx="3">
                  <c:v>2024</c:v>
                </c:pt>
                <c:pt idx="4">
                  <c:v>2025</c:v>
                </c:pt>
              </c:numCache>
            </c:numRef>
          </c:cat>
          <c:val>
            <c:numRef>
              <c:f>'activos Vs Pasivos'!$B$3:$F$3</c:f>
              <c:numCache>
                <c:formatCode>#,##0</c:formatCode>
                <c:ptCount val="5"/>
                <c:pt idx="0">
                  <c:v>902037.39706800005</c:v>
                </c:pt>
                <c:pt idx="1">
                  <c:v>793036.01877900003</c:v>
                </c:pt>
                <c:pt idx="2">
                  <c:v>843225.41116300004</c:v>
                </c:pt>
                <c:pt idx="3">
                  <c:v>2801338.3875299999</c:v>
                </c:pt>
                <c:pt idx="4">
                  <c:v>6634186.9181350004</c:v>
                </c:pt>
              </c:numCache>
            </c:numRef>
          </c:val>
          <c:smooth val="0"/>
          <c:extLst>
            <c:ext xmlns:c16="http://schemas.microsoft.com/office/drawing/2014/chart" uri="{C3380CC4-5D6E-409C-BE32-E72D297353CC}">
              <c16:uniqueId val="{00000003-8D37-4C0A-9F12-D3BB20FE21D8}"/>
            </c:ext>
          </c:extLst>
        </c:ser>
        <c:dLbls>
          <c:showLegendKey val="0"/>
          <c:showVal val="0"/>
          <c:showCatName val="0"/>
          <c:showSerName val="0"/>
          <c:showPercent val="0"/>
          <c:showBubbleSize val="0"/>
        </c:dLbls>
        <c:smooth val="0"/>
        <c:axId val="-839745040"/>
        <c:axId val="-839741232"/>
      </c:lineChart>
      <c:catAx>
        <c:axId val="-8397450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839741232"/>
        <c:crosses val="autoZero"/>
        <c:auto val="1"/>
        <c:lblAlgn val="ctr"/>
        <c:lblOffset val="100"/>
        <c:noMultiLvlLbl val="0"/>
      </c:catAx>
      <c:valAx>
        <c:axId val="-839741232"/>
        <c:scaling>
          <c:orientation val="minMax"/>
        </c:scaling>
        <c:delete val="1"/>
        <c:axPos val="l"/>
        <c:numFmt formatCode="#,##0" sourceLinked="1"/>
        <c:majorTickMark val="none"/>
        <c:minorTickMark val="none"/>
        <c:tickLblPos val="nextTo"/>
        <c:crossAx val="-839745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legend>
    <c:plotVisOnly val="1"/>
    <c:dispBlanksAs val="gap"/>
    <c:showDLblsOverMax val="0"/>
  </c:chart>
  <c:spPr>
    <a:solidFill>
      <a:schemeClr val="bg1"/>
    </a:solid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es-CO"/>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'TD COOSALUD ctas por pagar'!$B$38</c:f>
              <c:strCache>
                <c:ptCount val="1"/>
                <c:pt idx="0">
                  <c:v>cuentas por pagar</c:v>
                </c:pt>
              </c:strCache>
            </c:strRef>
          </c:tx>
          <c:spPr>
            <a:ln w="28575" cap="rnd">
              <a:solidFill>
                <a:srgbClr val="C00000"/>
              </a:solidFill>
              <a:round/>
              <a:tailEnd type="arrow"/>
            </a:ln>
            <a:effectLst/>
          </c:spPr>
          <c:marker>
            <c:symbol val="diamond"/>
            <c:size val="5"/>
            <c:spPr>
              <a:solidFill>
                <a:schemeClr val="accent2"/>
              </a:solidFill>
              <a:ln w="38100">
                <a:solidFill>
                  <a:schemeClr val="bg1">
                    <a:lumMod val="85000"/>
                  </a:schemeClr>
                </a:solidFill>
              </a:ln>
              <a:effectLst/>
            </c:spPr>
          </c:marker>
          <c:dLbls>
            <c:dLbl>
              <c:idx val="2"/>
              <c:layout>
                <c:manualLayout>
                  <c:x val="-7.3162801633342447E-2"/>
                  <c:y val="-0.1262630214701423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0E5-4434-B8F2-C2D3881F8FF9}"/>
                </c:ext>
              </c:extLst>
            </c:dLbl>
            <c:dLbl>
              <c:idx val="3"/>
              <c:layout>
                <c:manualLayout>
                  <c:x val="-0.13965884063395193"/>
                  <c:y val="-7.65735804763535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0E5-4434-B8F2-C2D3881F8FF9}"/>
                </c:ext>
              </c:extLst>
            </c:dLbl>
            <c:dLbl>
              <c:idx val="4"/>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extLst>
                <c:ext xmlns:c16="http://schemas.microsoft.com/office/drawing/2014/chart" uri="{C3380CC4-5D6E-409C-BE32-E72D297353CC}">
                  <c16:uniqueId val="{00000002-B0E5-4434-B8F2-C2D3881F8FF9}"/>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'TD COOSALUD ctas por pagar'!$C$37:$G$37</c:f>
              <c:numCache>
                <c:formatCode>General</c:formatCode>
                <c:ptCount val="5"/>
                <c:pt idx="0">
                  <c:v>2021</c:v>
                </c:pt>
                <c:pt idx="1">
                  <c:v>2022</c:v>
                </c:pt>
                <c:pt idx="2">
                  <c:v>2023</c:v>
                </c:pt>
                <c:pt idx="3">
                  <c:v>2024</c:v>
                </c:pt>
                <c:pt idx="4">
                  <c:v>2025</c:v>
                </c:pt>
              </c:numCache>
            </c:numRef>
          </c:cat>
          <c:val>
            <c:numRef>
              <c:f>'TD COOSALUD ctas por pagar'!$C$38:$G$38</c:f>
              <c:numCache>
                <c:formatCode>"$"\ #,##0</c:formatCode>
                <c:ptCount val="5"/>
                <c:pt idx="0">
                  <c:v>356405.421394</c:v>
                </c:pt>
                <c:pt idx="1">
                  <c:v>162766.30459700001</c:v>
                </c:pt>
                <c:pt idx="2">
                  <c:v>66843.553446999998</c:v>
                </c:pt>
                <c:pt idx="3">
                  <c:v>986536.69745700003</c:v>
                </c:pt>
                <c:pt idx="4">
                  <c:v>2543908.1779800002</c:v>
                </c:pt>
              </c:numCache>
            </c:numRef>
          </c:val>
          <c:smooth val="0"/>
          <c:extLst>
            <c:ext xmlns:c16="http://schemas.microsoft.com/office/drawing/2014/chart" uri="{C3380CC4-5D6E-409C-BE32-E72D297353CC}">
              <c16:uniqueId val="{00000003-B0E5-4434-B8F2-C2D3881F8FF9}"/>
            </c:ext>
          </c:extLst>
        </c:ser>
        <c:dLbls>
          <c:showLegendKey val="0"/>
          <c:showVal val="0"/>
          <c:showCatName val="0"/>
          <c:showSerName val="0"/>
          <c:showPercent val="0"/>
          <c:showBubbleSize val="0"/>
        </c:dLbls>
        <c:marker val="1"/>
        <c:smooth val="0"/>
        <c:axId val="905704175"/>
        <c:axId val="905702735"/>
      </c:lineChart>
      <c:catAx>
        <c:axId val="9057041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905702735"/>
        <c:crosses val="autoZero"/>
        <c:auto val="1"/>
        <c:lblAlgn val="ctr"/>
        <c:lblOffset val="100"/>
        <c:noMultiLvlLbl val="0"/>
      </c:catAx>
      <c:valAx>
        <c:axId val="905702735"/>
        <c:scaling>
          <c:orientation val="minMax"/>
        </c:scaling>
        <c:delete val="0"/>
        <c:axPos val="l"/>
        <c:numFmt formatCode="&quot;$&quot;\ #,##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905704175"/>
        <c:crosses val="autoZero"/>
        <c:crossBetween val="between"/>
        <c:majorUnit val="500000"/>
        <c:minorUnit val="10000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solidFill>
            <a:sysClr val="windowText" lastClr="000000"/>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rgbClr val="C00000"/>
              </a:solidFill>
              <a:round/>
              <a:tailEnd type="arrow"/>
            </a:ln>
            <a:effectLst/>
          </c:spPr>
          <c:marker>
            <c:symbol val="diamond"/>
            <c:size val="7"/>
            <c:spPr>
              <a:solidFill>
                <a:schemeClr val="accent1"/>
              </a:solidFill>
              <a:ln w="9525">
                <a:solidFill>
                  <a:srgbClr val="C00000"/>
                </a:solidFill>
                <a:tailEnd type="arrow"/>
              </a:ln>
              <a:effectLst/>
            </c:spPr>
          </c:marker>
          <c:dLbls>
            <c:dLbl>
              <c:idx val="2"/>
              <c:layout>
                <c:manualLayout>
                  <c:x val="-9.3368110236220575E-2"/>
                  <c:y val="-9.024314668999708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A43-44A5-9AF3-7E5ADD1D444B}"/>
                </c:ext>
              </c:extLst>
            </c:dLbl>
            <c:dLbl>
              <c:idx val="3"/>
              <c:layout>
                <c:manualLayout>
                  <c:x val="-0.15285433070866142"/>
                  <c:y val="-7.635425780110828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A43-44A5-9AF3-7E5ADD1D444B}"/>
                </c:ext>
              </c:extLst>
            </c:dLbl>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'TD FMS reservas tecnicas'!$F$26:$J$26</c:f>
              <c:numCache>
                <c:formatCode>General</c:formatCode>
                <c:ptCount val="5"/>
                <c:pt idx="0">
                  <c:v>2021</c:v>
                </c:pt>
                <c:pt idx="1">
                  <c:v>2022</c:v>
                </c:pt>
                <c:pt idx="2">
                  <c:v>2023</c:v>
                </c:pt>
                <c:pt idx="3">
                  <c:v>2024</c:v>
                </c:pt>
                <c:pt idx="4">
                  <c:v>2025</c:v>
                </c:pt>
              </c:numCache>
            </c:numRef>
          </c:cat>
          <c:val>
            <c:numRef>
              <c:f>'TD FMS reservas tecnicas'!$F$27:$J$27</c:f>
              <c:numCache>
                <c:formatCode>"$"\ #,##0</c:formatCode>
                <c:ptCount val="5"/>
                <c:pt idx="0">
                  <c:v>590261.71134699997</c:v>
                </c:pt>
                <c:pt idx="1">
                  <c:v>506618.96690900001</c:v>
                </c:pt>
                <c:pt idx="2">
                  <c:v>584389.00486500002</c:v>
                </c:pt>
                <c:pt idx="3">
                  <c:v>2663523.69594</c:v>
                </c:pt>
                <c:pt idx="4">
                  <c:v>6513509.3791669998</c:v>
                </c:pt>
              </c:numCache>
            </c:numRef>
          </c:val>
          <c:smooth val="0"/>
          <c:extLst>
            <c:ext xmlns:c16="http://schemas.microsoft.com/office/drawing/2014/chart" uri="{C3380CC4-5D6E-409C-BE32-E72D297353CC}">
              <c16:uniqueId val="{00000002-AA43-44A5-9AF3-7E5ADD1D444B}"/>
            </c:ext>
          </c:extLst>
        </c:ser>
        <c:dLbls>
          <c:showLegendKey val="0"/>
          <c:showVal val="0"/>
          <c:showCatName val="0"/>
          <c:showSerName val="0"/>
          <c:showPercent val="0"/>
          <c:showBubbleSize val="0"/>
        </c:dLbls>
        <c:marker val="1"/>
        <c:smooth val="0"/>
        <c:axId val="643381055"/>
        <c:axId val="643383935"/>
      </c:lineChart>
      <c:catAx>
        <c:axId val="6433810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643383935"/>
        <c:crosses val="autoZero"/>
        <c:auto val="1"/>
        <c:lblAlgn val="ctr"/>
        <c:lblOffset val="100"/>
        <c:noMultiLvlLbl val="0"/>
      </c:catAx>
      <c:valAx>
        <c:axId val="643383935"/>
        <c:scaling>
          <c:orientation val="minMax"/>
        </c:scaling>
        <c:delete val="0"/>
        <c:axPos val="l"/>
        <c:numFmt formatCode="&quot;$&quot;\ #,##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643381055"/>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50">
          <a:solidFill>
            <a:sysClr val="windowText" lastClr="000000"/>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'TD coosalud patrimonio'!$C$52</c:f>
              <c:strCache>
                <c:ptCount val="1"/>
                <c:pt idx="0">
                  <c:v>PATRIMONIO</c:v>
                </c:pt>
              </c:strCache>
            </c:strRef>
          </c:tx>
          <c:spPr>
            <a:solidFill>
              <a:schemeClr val="accent5"/>
            </a:solidFill>
            <a:ln w="12700" cap="flat" cmpd="sng" algn="ctr">
              <a:solidFill>
                <a:schemeClr val="accent5">
                  <a:shade val="15000"/>
                </a:schemeClr>
              </a:solidFill>
              <a:prstDash val="solid"/>
              <a:miter lim="800000"/>
            </a:ln>
            <a:effectLst/>
          </c:spPr>
          <c:invertIfNegative val="0"/>
          <c:dLbls>
            <c:dLbl>
              <c:idx val="4"/>
              <c:spPr>
                <a:noFill/>
                <a:ln>
                  <a:noFill/>
                </a:ln>
                <a:effectLst/>
              </c:spPr>
              <c:txPr>
                <a:bodyPr rot="0" spcFirstLastPara="1" vertOverflow="ellipsis" vert="horz" wrap="square" anchor="ctr" anchorCtr="1"/>
                <a:lstStyle/>
                <a:p>
                  <a:pPr>
                    <a:defRPr sz="1100" b="1" i="0" u="none" strike="noStrike" kern="1200" baseline="0">
                      <a:solidFill>
                        <a:srgbClr val="FF0000"/>
                      </a:solidFill>
                      <a:latin typeface="Arial" panose="020B0604020202020204" pitchFamily="34" charset="0"/>
                      <a:ea typeface="+mn-ea"/>
                      <a:cs typeface="Arial" panose="020B0604020202020204" pitchFamily="34" charset="0"/>
                    </a:defRPr>
                  </a:pPr>
                  <a:endParaRPr lang="es-CO"/>
                </a:p>
              </c:txPr>
              <c:dLblPos val="outEnd"/>
              <c:showLegendKey val="0"/>
              <c:showVal val="1"/>
              <c:showCatName val="0"/>
              <c:showSerName val="0"/>
              <c:showPercent val="0"/>
              <c:showBubbleSize val="0"/>
              <c:extLst>
                <c:ext xmlns:c16="http://schemas.microsoft.com/office/drawing/2014/chart" uri="{C3380CC4-5D6E-409C-BE32-E72D297353CC}">
                  <c16:uniqueId val="{00000000-095C-4316-B2BC-60FDE7F1455E}"/>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'TD coosalud patrimonio'!$D$52:$H$52</c:f>
              <c:numCache>
                <c:formatCode>"$"\ #,##0</c:formatCode>
                <c:ptCount val="5"/>
                <c:pt idx="0">
                  <c:v>300430.700992</c:v>
                </c:pt>
                <c:pt idx="1">
                  <c:v>331000.19912200002</c:v>
                </c:pt>
                <c:pt idx="2">
                  <c:v>223456.162691</c:v>
                </c:pt>
                <c:pt idx="3">
                  <c:v>-859167.96675999998</c:v>
                </c:pt>
                <c:pt idx="4">
                  <c:v>-3718113.6302749999</c:v>
                </c:pt>
              </c:numCache>
            </c:numRef>
          </c:val>
          <c:extLst>
            <c:ext xmlns:c16="http://schemas.microsoft.com/office/drawing/2014/chart" uri="{C3380CC4-5D6E-409C-BE32-E72D297353CC}">
              <c16:uniqueId val="{00000001-095C-4316-B2BC-60FDE7F1455E}"/>
            </c:ext>
          </c:extLst>
        </c:ser>
        <c:dLbls>
          <c:showLegendKey val="0"/>
          <c:showVal val="0"/>
          <c:showCatName val="0"/>
          <c:showSerName val="0"/>
          <c:showPercent val="0"/>
          <c:showBubbleSize val="0"/>
        </c:dLbls>
        <c:gapWidth val="219"/>
        <c:overlap val="-27"/>
        <c:axId val="839892847"/>
        <c:axId val="839895247"/>
      </c:barChart>
      <c:catAx>
        <c:axId val="839892847"/>
        <c:scaling>
          <c:orientation val="minMax"/>
        </c:scaling>
        <c:delete val="1"/>
        <c:axPos val="b"/>
        <c:numFmt formatCode="General" sourceLinked="1"/>
        <c:majorTickMark val="none"/>
        <c:minorTickMark val="none"/>
        <c:tickLblPos val="nextTo"/>
        <c:crossAx val="839895247"/>
        <c:crosses val="autoZero"/>
        <c:auto val="1"/>
        <c:lblAlgn val="ctr"/>
        <c:lblOffset val="100"/>
        <c:noMultiLvlLbl val="0"/>
      </c:catAx>
      <c:valAx>
        <c:axId val="839895247"/>
        <c:scaling>
          <c:orientation val="minMax"/>
        </c:scaling>
        <c:delete val="0"/>
        <c:axPos val="l"/>
        <c:numFmt formatCode="&quot;$&quot;\ #,##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CO"/>
          </a:p>
        </c:txPr>
        <c:crossAx val="839892847"/>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Arial" panose="020B0604020202020204" pitchFamily="34" charset="0"/>
          <a:cs typeface="Arial" panose="020B0604020202020204" pitchFamily="34" charset="0"/>
        </a:defRPr>
      </a:pPr>
      <a:endParaRPr lang="es-CO"/>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rgbClr val="4472C4"/>
            </a:solidFill>
            <a:ln w="12700" cap="flat" cmpd="sng" algn="ctr">
              <a:solidFill>
                <a:schemeClr val="accent5">
                  <a:shade val="15000"/>
                </a:schemeClr>
              </a:solidFill>
              <a:prstDash val="solid"/>
              <a:miter lim="800000"/>
            </a:ln>
            <a:effectLst/>
          </c:spPr>
          <c:invertIfNegative val="1"/>
          <c:dLbls>
            <c:dLbl>
              <c:idx val="4"/>
              <c:spPr>
                <a:noFill/>
                <a:ln>
                  <a:noFill/>
                </a:ln>
                <a:effectLst/>
              </c:spPr>
              <c:txPr>
                <a:bodyPr wrap="square" lIns="38100" tIns="19050" rIns="38100" bIns="19050" anchor="ctr">
                  <a:spAutoFit/>
                </a:bodyPr>
                <a:lstStyle/>
                <a:p>
                  <a:pPr>
                    <a:defRPr sz="1100" b="1"/>
                  </a:pPr>
                  <a:endParaRPr lang="es-CO"/>
                </a:p>
              </c:txPr>
              <c:dLblPos val="outEnd"/>
              <c:showLegendKey val="0"/>
              <c:showVal val="1"/>
              <c:showCatName val="0"/>
              <c:showSerName val="0"/>
              <c:showPercent val="0"/>
              <c:showBubbleSize val="0"/>
              <c:extLst>
                <c:ext xmlns:c16="http://schemas.microsoft.com/office/drawing/2014/chart" uri="{C3380CC4-5D6E-409C-BE32-E72D297353CC}">
                  <c16:uniqueId val="{00000000-1473-4797-B11A-DE497378B8E1}"/>
                </c:ext>
              </c:extLst>
            </c:dLbl>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Endeudamiento!$A$4:$A$8</c:f>
              <c:strCache>
                <c:ptCount val="5"/>
                <c:pt idx="0">
                  <c:v>2021</c:v>
                </c:pt>
                <c:pt idx="1">
                  <c:v>2022</c:v>
                </c:pt>
                <c:pt idx="2">
                  <c:v>2023</c:v>
                </c:pt>
                <c:pt idx="3">
                  <c:v>2024</c:v>
                </c:pt>
                <c:pt idx="4">
                  <c:v>2025</c:v>
                </c:pt>
              </c:strCache>
            </c:strRef>
          </c:cat>
          <c:val>
            <c:numRef>
              <c:f>Endeudamiento!$B$4:$B$8</c:f>
              <c:numCache>
                <c:formatCode>0.00%</c:formatCode>
                <c:ptCount val="5"/>
                <c:pt idx="0">
                  <c:v>0.75019999999999998</c:v>
                </c:pt>
                <c:pt idx="1">
                  <c:v>0.70550000000000002</c:v>
                </c:pt>
                <c:pt idx="2">
                  <c:v>0.79049999999999998</c:v>
                </c:pt>
                <c:pt idx="3">
                  <c:v>1.4423999999999999</c:v>
                </c:pt>
                <c:pt idx="4">
                  <c:v>2.2749999999999999</c:v>
                </c:pt>
              </c:numCache>
            </c:numRef>
          </c:val>
          <c:extLst>
            <c:ext xmlns:c14="http://schemas.microsoft.com/office/drawing/2007/8/2/chart" uri="{6F2FDCE9-48DA-4B69-8628-5D25D57E5C99}">
              <c14:invertSolidFillFmt>
                <c14:spPr xmlns:c14="http://schemas.microsoft.com/office/drawing/2007/8/2/chart">
                  <a:solidFill>
                    <a:srgbClr val="FFFFFF"/>
                  </a:solidFill>
                  <a:ln w="12700" cap="flat" cmpd="sng" algn="ctr">
                    <a:solidFill>
                      <a:schemeClr val="accent5">
                        <a:shade val="15000"/>
                      </a:schemeClr>
                    </a:solidFill>
                    <a:prstDash val="solid"/>
                    <a:miter lim="800000"/>
                  </a:ln>
                  <a:effectLst/>
                </c14:spPr>
              </c14:invertSolidFillFmt>
            </c:ext>
            <c:ext xmlns:c16="http://schemas.microsoft.com/office/drawing/2014/chart" uri="{C3380CC4-5D6E-409C-BE32-E72D297353CC}">
              <c16:uniqueId val="{00000001-1473-4797-B11A-DE497378B8E1}"/>
            </c:ext>
          </c:extLst>
        </c:ser>
        <c:dLbls>
          <c:showLegendKey val="0"/>
          <c:showVal val="0"/>
          <c:showCatName val="0"/>
          <c:showSerName val="0"/>
          <c:showPercent val="0"/>
          <c:showBubbleSize val="0"/>
        </c:dLbls>
        <c:gapWidth val="150"/>
        <c:axId val="48650112"/>
        <c:axId val="48672768"/>
      </c:barChart>
      <c:catAx>
        <c:axId val="48650112"/>
        <c:scaling>
          <c:orientation val="minMax"/>
        </c:scaling>
        <c:delete val="0"/>
        <c:axPos val="b"/>
        <c:numFmt formatCode="General" sourceLinked="1"/>
        <c:majorTickMark val="none"/>
        <c:minorTickMark val="none"/>
        <c:tickLblPos val="nextTo"/>
        <c:txPr>
          <a:bodyPr anchorCtr="1"/>
          <a:lstStyle/>
          <a:p>
            <a:pPr>
              <a:defRPr sz="1050"/>
            </a:pPr>
            <a:endParaRPr lang="es-CO"/>
          </a:p>
        </c:txPr>
        <c:crossAx val="48672768"/>
        <c:crosses val="autoZero"/>
        <c:auto val="1"/>
        <c:lblAlgn val="ctr"/>
        <c:lblOffset val="100"/>
        <c:noMultiLvlLbl val="0"/>
      </c:catAx>
      <c:valAx>
        <c:axId val="48672768"/>
        <c:scaling>
          <c:orientation val="minMax"/>
        </c:scaling>
        <c:delete val="1"/>
        <c:axPos val="l"/>
        <c:numFmt formatCode="0%" sourceLinked="0"/>
        <c:majorTickMark val="none"/>
        <c:minorTickMark val="none"/>
        <c:tickLblPos val="nextTo"/>
        <c:crossAx val="48650112"/>
        <c:crosses val="autoZero"/>
        <c:crossBetween val="between"/>
      </c:valAx>
    </c:plotArea>
    <c:plotVisOnly val="1"/>
    <c:dispBlanksAs val="zero"/>
    <c:showDLblsOverMax val="1"/>
  </c:chart>
  <c:spPr>
    <a:ln w="9525">
      <a:noFill/>
      <a:prstDash val="solid"/>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Grafica!$B$1</c:f>
              <c:strCache>
                <c:ptCount val="1"/>
                <c:pt idx="0">
                  <c:v>Valor</c:v>
                </c:pt>
              </c:strCache>
            </c:strRef>
          </c:tx>
          <c:spPr>
            <a:solidFill>
              <a:srgbClr val="4472C4"/>
            </a:solidFill>
            <a:ln w="12700" cap="flat" cmpd="sng" algn="ctr">
              <a:solidFill>
                <a:schemeClr val="accent5">
                  <a:shade val="15000"/>
                </a:schemeClr>
              </a:solidFill>
              <a:prstDash val="solid"/>
              <a:miter lim="800000"/>
            </a:ln>
            <a:effectLst/>
          </c:spPr>
          <c:invertIfNegative val="1"/>
          <c:dLbls>
            <c:dLbl>
              <c:idx val="11"/>
              <c:spPr>
                <a:noFill/>
                <a:ln>
                  <a:noFill/>
                </a:ln>
                <a:effectLst/>
              </c:spPr>
              <c:txPr>
                <a:bodyPr wrap="square" lIns="38100" tIns="19050" rIns="38100" bIns="19050" anchor="ctr">
                  <a:spAutoFit/>
                </a:bodyPr>
                <a:lstStyle/>
                <a:p>
                  <a:pPr>
                    <a:defRPr sz="1200" b="1"/>
                  </a:pPr>
                  <a:endParaRPr lang="es-CO"/>
                </a:p>
              </c:txPr>
              <c:dLblPos val="outEnd"/>
              <c:showLegendKey val="0"/>
              <c:showVal val="1"/>
              <c:showCatName val="0"/>
              <c:showSerName val="0"/>
              <c:showPercent val="0"/>
              <c:showBubbleSize val="0"/>
              <c:extLst>
                <c:ext xmlns:c16="http://schemas.microsoft.com/office/drawing/2014/chart" uri="{C3380CC4-5D6E-409C-BE32-E72D297353CC}">
                  <c16:uniqueId val="{00000000-0CAA-4065-8E87-640FF1A5FEBB}"/>
                </c:ext>
              </c:extLst>
            </c:dLbl>
            <c:spPr>
              <a:noFill/>
              <a:ln>
                <a:noFill/>
              </a:ln>
              <a:effectLst/>
            </c:spPr>
            <c:txPr>
              <a:bodyPr wrap="square" lIns="38100" tIns="19050" rIns="38100" bIns="19050" anchor="ctr">
                <a:spAutoFit/>
              </a:bodyPr>
              <a:lstStyle/>
              <a:p>
                <a:pPr>
                  <a:defRPr sz="800"/>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Grafica!$A$2:$A$13</c:f>
              <c:strCache>
                <c:ptCount val="12"/>
                <c:pt idx="0">
                  <c:v>ene-25</c:v>
                </c:pt>
                <c:pt idx="1">
                  <c:v>feb-25</c:v>
                </c:pt>
                <c:pt idx="2">
                  <c:v>mar-25</c:v>
                </c:pt>
                <c:pt idx="3">
                  <c:v>abr-25</c:v>
                </c:pt>
                <c:pt idx="4">
                  <c:v>may-25</c:v>
                </c:pt>
                <c:pt idx="5">
                  <c:v>jun-25</c:v>
                </c:pt>
                <c:pt idx="6">
                  <c:v>jul-25</c:v>
                </c:pt>
                <c:pt idx="7">
                  <c:v>ago-25</c:v>
                </c:pt>
                <c:pt idx="8">
                  <c:v>sep-25</c:v>
                </c:pt>
                <c:pt idx="9">
                  <c:v>oct-25</c:v>
                </c:pt>
                <c:pt idx="10">
                  <c:v>nov-25</c:v>
                </c:pt>
                <c:pt idx="11">
                  <c:v>dic-25</c:v>
                </c:pt>
              </c:strCache>
            </c:strRef>
          </c:cat>
          <c:val>
            <c:numRef>
              <c:f>Grafica!$B$2:$B$13</c:f>
              <c:numCache>
                <c:formatCode>0.00%</c:formatCode>
                <c:ptCount val="12"/>
                <c:pt idx="0">
                  <c:v>0.95099999999999996</c:v>
                </c:pt>
                <c:pt idx="1">
                  <c:v>1.0503</c:v>
                </c:pt>
                <c:pt idx="2">
                  <c:v>1.0819000000000001</c:v>
                </c:pt>
                <c:pt idx="3">
                  <c:v>1.0076000000000001</c:v>
                </c:pt>
                <c:pt idx="4">
                  <c:v>0.95030000000000003</c:v>
                </c:pt>
                <c:pt idx="5">
                  <c:v>1.1846000000000001</c:v>
                </c:pt>
                <c:pt idx="6">
                  <c:v>1.1908000000000001</c:v>
                </c:pt>
                <c:pt idx="7">
                  <c:v>1.1971000000000001</c:v>
                </c:pt>
                <c:pt idx="8">
                  <c:v>1.2465999999999999</c:v>
                </c:pt>
                <c:pt idx="9">
                  <c:v>1.2678</c:v>
                </c:pt>
                <c:pt idx="10">
                  <c:v>1.2767999999999999</c:v>
                </c:pt>
                <c:pt idx="11">
                  <c:v>1.3217000000000001</c:v>
                </c:pt>
              </c:numCache>
            </c:numRef>
          </c:val>
          <c:extLst>
            <c:ext xmlns:c14="http://schemas.microsoft.com/office/drawing/2007/8/2/chart" uri="{6F2FDCE9-48DA-4B69-8628-5D25D57E5C99}">
              <c14:invertSolidFillFmt>
                <c14:spPr xmlns:c14="http://schemas.microsoft.com/office/drawing/2007/8/2/chart">
                  <a:solidFill>
                    <a:srgbClr val="FFFFFF"/>
                  </a:solidFill>
                  <a:ln w="12700" cap="flat" cmpd="sng" algn="ctr">
                    <a:solidFill>
                      <a:schemeClr val="accent5">
                        <a:shade val="15000"/>
                      </a:schemeClr>
                    </a:solidFill>
                    <a:prstDash val="solid"/>
                    <a:miter lim="800000"/>
                  </a:ln>
                  <a:effectLst/>
                </c14:spPr>
              </c14:invertSolidFillFmt>
            </c:ext>
            <c:ext xmlns:c16="http://schemas.microsoft.com/office/drawing/2014/chart" uri="{C3380CC4-5D6E-409C-BE32-E72D297353CC}">
              <c16:uniqueId val="{00000001-0CAA-4065-8E87-640FF1A5FEBB}"/>
            </c:ext>
          </c:extLst>
        </c:ser>
        <c:dLbls>
          <c:showLegendKey val="0"/>
          <c:showVal val="0"/>
          <c:showCatName val="0"/>
          <c:showSerName val="0"/>
          <c:showPercent val="0"/>
          <c:showBubbleSize val="0"/>
        </c:dLbls>
        <c:gapWidth val="150"/>
        <c:axId val="48650112"/>
        <c:axId val="48672768"/>
      </c:barChart>
      <c:catAx>
        <c:axId val="48650112"/>
        <c:scaling>
          <c:orientation val="minMax"/>
        </c:scaling>
        <c:delete val="0"/>
        <c:axPos val="b"/>
        <c:numFmt formatCode="General" sourceLinked="1"/>
        <c:majorTickMark val="none"/>
        <c:minorTickMark val="none"/>
        <c:tickLblPos val="nextTo"/>
        <c:crossAx val="48672768"/>
        <c:crosses val="autoZero"/>
        <c:auto val="1"/>
        <c:lblAlgn val="ctr"/>
        <c:lblOffset val="100"/>
        <c:noMultiLvlLbl val="0"/>
      </c:catAx>
      <c:valAx>
        <c:axId val="48672768"/>
        <c:scaling>
          <c:orientation val="minMax"/>
          <c:min val="0.8"/>
        </c:scaling>
        <c:delete val="1"/>
        <c:axPos val="l"/>
        <c:numFmt formatCode="0%" sourceLinked="0"/>
        <c:majorTickMark val="none"/>
        <c:minorTickMark val="none"/>
        <c:tickLblPos val="nextTo"/>
        <c:crossAx val="48650112"/>
        <c:crosses val="autoZero"/>
        <c:crossBetween val="between"/>
      </c:valAx>
    </c:plotArea>
    <c:plotVisOnly val="1"/>
    <c:dispBlanksAs val="zero"/>
    <c:showDLblsOverMax val="1"/>
  </c:chart>
  <c:spPr>
    <a:ln w="9525">
      <a:noFill/>
      <a:prstDash val="solid"/>
    </a:ln>
  </c:spPr>
  <c:txPr>
    <a:bodyPr/>
    <a:lstStyle/>
    <a:p>
      <a:pPr>
        <a:defRPr>
          <a:latin typeface="Arial" panose="020B0604020202020204" pitchFamily="34" charset="0"/>
          <a:cs typeface="Arial" panose="020B0604020202020204" pitchFamily="34" charset="0"/>
        </a:defRPr>
      </a:pPr>
      <a:endParaRPr lang="es-CO"/>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A62F358A0D1E84B8A3EFB191CDA2B11" ma:contentTypeVersion="13" ma:contentTypeDescription="Crear nuevo documento." ma:contentTypeScope="" ma:versionID="5d1bdb202ad87fec3c66b46319e79c1d">
  <xsd:schema xmlns:xsd="http://www.w3.org/2001/XMLSchema" xmlns:xs="http://www.w3.org/2001/XMLSchema" xmlns:p="http://schemas.microsoft.com/office/2006/metadata/properties" xmlns:ns2="76a38297-7708-4b19-93b1-119b8e8239f4" xmlns:ns3="61559883-7709-4073-94ff-6ee5816d7111" targetNamespace="http://schemas.microsoft.com/office/2006/metadata/properties" ma:root="true" ma:fieldsID="19301f7f4cf9251f3da58cf770199eda" ns2:_="" ns3:_="">
    <xsd:import namespace="76a38297-7708-4b19-93b1-119b8e8239f4"/>
    <xsd:import namespace="61559883-7709-4073-94ff-6ee5816d71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a38297-7708-4b19-93b1-119b8e8239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59883-7709-4073-94ff-6ee5816d711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6735e0a9-3993-4d86-a73a-60e3fbc19586}" ma:internalName="TaxCatchAll" ma:showField="CatchAllData" ma:web="61559883-7709-4073-94ff-6ee5816d71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1559883-7709-4073-94ff-6ee5816d7111" xsi:nil="true"/>
    <lcf76f155ced4ddcb4097134ff3c332f xmlns="76a38297-7708-4b19-93b1-119b8e8239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DDE694-847B-4B82-9F34-5214E0A8B66E}">
  <ds:schemaRefs>
    <ds:schemaRef ds:uri="http://schemas.openxmlformats.org/officeDocument/2006/bibliography"/>
  </ds:schemaRefs>
</ds:datastoreItem>
</file>

<file path=customXml/itemProps2.xml><?xml version="1.0" encoding="utf-8"?>
<ds:datastoreItem xmlns:ds="http://schemas.openxmlformats.org/officeDocument/2006/customXml" ds:itemID="{420A2580-0E12-478B-8E39-6F4CBA7737E6}">
  <ds:schemaRefs>
    <ds:schemaRef ds:uri="http://schemas.microsoft.com/sharepoint/v3/contenttype/forms"/>
  </ds:schemaRefs>
</ds:datastoreItem>
</file>

<file path=customXml/itemProps3.xml><?xml version="1.0" encoding="utf-8"?>
<ds:datastoreItem xmlns:ds="http://schemas.openxmlformats.org/officeDocument/2006/customXml" ds:itemID="{7891515D-DEA5-4017-AFB8-DB93056DE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a38297-7708-4b19-93b1-119b8e8239f4"/>
    <ds:schemaRef ds:uri="61559883-7709-4073-94ff-6ee5816d71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930CB-7D35-4768-AEE1-0B251CAC1A37}">
  <ds:schemaRefs>
    <ds:schemaRef ds:uri="http://schemas.microsoft.com/office/2006/metadata/properties"/>
    <ds:schemaRef ds:uri="http://schemas.microsoft.com/office/infopath/2007/PartnerControls"/>
    <ds:schemaRef ds:uri="61559883-7709-4073-94ff-6ee5816d7111"/>
    <ds:schemaRef ds:uri="76a38297-7708-4b19-93b1-119b8e8239f4"/>
  </ds:schemaRefs>
</ds:datastoreItem>
</file>

<file path=docProps/app.xml><?xml version="1.0" encoding="utf-8"?>
<Properties xmlns="http://schemas.openxmlformats.org/officeDocument/2006/extended-properties" xmlns:vt="http://schemas.openxmlformats.org/officeDocument/2006/docPropsVTypes">
  <Template>Normal</Template>
  <TotalTime>2154</TotalTime>
  <Pages>78</Pages>
  <Words>25045</Words>
  <Characters>137752</Characters>
  <Application>Microsoft Office Word</Application>
  <DocSecurity>0</DocSecurity>
  <Lines>1147</Lines>
  <Paragraphs>324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Andrea, Lopez Higuera</dc:creator>
  <cp:keywords/>
  <dc:description/>
  <cp:lastModifiedBy>Asus</cp:lastModifiedBy>
  <cp:revision>175</cp:revision>
  <cp:lastPrinted>2026-03-02T04:19:00Z</cp:lastPrinted>
  <dcterms:created xsi:type="dcterms:W3CDTF">2026-05-07T17:42:00Z</dcterms:created>
  <dcterms:modified xsi:type="dcterms:W3CDTF">2026-05-11T18:39:00Z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0x0101003A62F358A0D1E84B8A3EFB191CDA2B11</vt:lpwstr>
  </property>
  <property fmtid="{D5CDD505-2E9C-101B-9397-08002B2CF9AE}" pid="3" name="MediaServiceImageTags">
    <vt:lpwstr/>
  </property>
</Properties>
</file>